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5CF" w:rsidRPr="00DB2937" w:rsidRDefault="00F515CF" w:rsidP="00B77FF3">
      <w:pPr>
        <w:widowControl w:val="0"/>
        <w:spacing w:before="40"/>
        <w:jc w:val="both"/>
        <w:rPr>
          <w:lang w:val="sr-Cyrl-CS" w:eastAsia="sr-Latn-CS"/>
        </w:rPr>
      </w:pPr>
      <w:r w:rsidRPr="00DB2937">
        <w:rPr>
          <w:lang w:val="sr-Cyrl-CS"/>
        </w:rPr>
        <w:t xml:space="preserve">На основу решења </w:t>
      </w:r>
      <w:r w:rsidR="00C90F19">
        <w:rPr>
          <w:lang w:val="sr-Cyrl-RS"/>
        </w:rPr>
        <w:t xml:space="preserve">о банкротству </w:t>
      </w:r>
      <w:r w:rsidRPr="00DB2937">
        <w:rPr>
          <w:lang w:val="sr-Cyrl-CS"/>
        </w:rPr>
        <w:t>Привредног суда у</w:t>
      </w:r>
      <w:r w:rsidRPr="00DB2937">
        <w:rPr>
          <w:lang w:val="sr-Latn-CS"/>
        </w:rPr>
        <w:t xml:space="preserve"> </w:t>
      </w:r>
      <w:r w:rsidR="00B77FF3">
        <w:rPr>
          <w:lang w:val="sr-Cyrl-RS"/>
        </w:rPr>
        <w:t>Краљеву</w:t>
      </w:r>
      <w:r w:rsidRPr="00DB2937">
        <w:rPr>
          <w:lang w:val="sr-Cyrl-CS"/>
        </w:rPr>
        <w:t xml:space="preserve"> </w:t>
      </w:r>
      <w:r w:rsidR="00B77FF3" w:rsidRPr="002D12D8">
        <w:rPr>
          <w:b/>
          <w:lang w:val="sr-Cyrl-RS"/>
        </w:rPr>
        <w:t>4. Ст. 25/2019</w:t>
      </w:r>
      <w:r w:rsidR="00B77FF3">
        <w:rPr>
          <w:b/>
          <w:lang w:val="sr-Cyrl-RS"/>
        </w:rPr>
        <w:t xml:space="preserve"> </w:t>
      </w:r>
      <w:r w:rsidRPr="00DB2937">
        <w:rPr>
          <w:lang w:val="ru-RU"/>
        </w:rPr>
        <w:t xml:space="preserve">од </w:t>
      </w:r>
      <w:r w:rsidR="00C90F19">
        <w:t>10.01.2022.</w:t>
      </w:r>
      <w:r w:rsidRPr="00DB2937">
        <w:rPr>
          <w:lang w:val="sr-Cyrl-CS"/>
        </w:rPr>
        <w:t xml:space="preserve"> године, а у складу са члан</w:t>
      </w:r>
      <w:r w:rsidRPr="00DB2937">
        <w:t>o</w:t>
      </w:r>
      <w:r w:rsidRPr="00DB2937">
        <w:rPr>
          <w:lang w:val="sr-Cyrl-CS"/>
        </w:rPr>
        <w:t xml:space="preserve">м 131, </w:t>
      </w:r>
      <w:r w:rsidRPr="00DB2937">
        <w:rPr>
          <w:lang w:val="ru-RU"/>
        </w:rPr>
        <w:t xml:space="preserve">132. и </w:t>
      </w:r>
      <w:r w:rsidRPr="00DB2937">
        <w:rPr>
          <w:lang w:val="sr-Cyrl-CS"/>
        </w:rPr>
        <w:t>133. Закона о стечају («</w:t>
      </w:r>
      <w:r w:rsidRPr="00DB2937">
        <w:rPr>
          <w:i/>
          <w:lang w:val="sr-Cyrl-CS"/>
        </w:rPr>
        <w:t xml:space="preserve">Службени гласник </w:t>
      </w:r>
      <w:r w:rsidRPr="00DB2937">
        <w:rPr>
          <w:i/>
        </w:rPr>
        <w:t>Р</w:t>
      </w:r>
      <w:r w:rsidRPr="00DB2937">
        <w:rPr>
          <w:i/>
          <w:lang w:val="sr-Cyrl-CS"/>
        </w:rPr>
        <w:t>С» број 104/2009, 99/2011, 71/2012 - Одлука Уставног суда и 83/2014)</w:t>
      </w:r>
      <w:r w:rsidRPr="00DB2937">
        <w:rPr>
          <w:lang w:val="sr-Cyrl-CS"/>
        </w:rPr>
        <w:t xml:space="preserve"> и Националним стандардом број 5 – Националним стандардом о начину и поступку уновчења имовине стечајног дужника («</w:t>
      </w:r>
      <w:r w:rsidRPr="00DB2937">
        <w:rPr>
          <w:i/>
          <w:lang w:val="sr-Cyrl-CS"/>
        </w:rPr>
        <w:t>Службени гласник РС» број 13/2010</w:t>
      </w:r>
      <w:r w:rsidRPr="00DB2937">
        <w:rPr>
          <w:lang w:val="sr-Cyrl-CS"/>
        </w:rPr>
        <w:t>):</w:t>
      </w:r>
    </w:p>
    <w:p w:rsidR="00F515CF" w:rsidRPr="00DB2937" w:rsidRDefault="00F515CF" w:rsidP="00F515CF">
      <w:pPr>
        <w:spacing w:line="276" w:lineRule="auto"/>
        <w:jc w:val="both"/>
        <w:rPr>
          <w:lang w:val="sr-Cyrl-CS"/>
        </w:rPr>
      </w:pPr>
    </w:p>
    <w:p w:rsidR="007D2157" w:rsidRPr="00DB2937" w:rsidRDefault="007D2157" w:rsidP="007D2157">
      <w:pPr>
        <w:tabs>
          <w:tab w:val="left" w:pos="4860"/>
          <w:tab w:val="left" w:pos="6300"/>
          <w:tab w:val="left" w:pos="8640"/>
        </w:tabs>
        <w:ind w:right="33"/>
        <w:jc w:val="both"/>
        <w:rPr>
          <w:lang w:val="sr-Cyrl-RS"/>
        </w:rPr>
      </w:pPr>
      <w:r w:rsidRPr="00DB2937">
        <w:rPr>
          <w:b/>
          <w:lang w:val="sr-Latn-RS"/>
        </w:rPr>
        <w:t>PLIMA HOLDING ДОО, Крушевац - у стечају</w:t>
      </w:r>
      <w:r w:rsidR="00DB2937" w:rsidRPr="00DB2937">
        <w:rPr>
          <w:b/>
          <w:lang w:val="sr-Cyrl-RS"/>
        </w:rPr>
        <w:t>, Трг мира 28, Крушевац</w:t>
      </w:r>
    </w:p>
    <w:p w:rsidR="00F515CF" w:rsidRPr="00DB2937" w:rsidRDefault="00F515CF" w:rsidP="00F515CF">
      <w:pPr>
        <w:spacing w:line="276" w:lineRule="auto"/>
        <w:jc w:val="center"/>
        <w:rPr>
          <w:b/>
          <w:lang w:val="sr-Cyrl-CS"/>
        </w:rPr>
      </w:pPr>
    </w:p>
    <w:p w:rsidR="00F515CF" w:rsidRPr="00DB2937" w:rsidRDefault="00F515CF" w:rsidP="00F515CF">
      <w:pPr>
        <w:spacing w:line="276" w:lineRule="auto"/>
        <w:jc w:val="center"/>
        <w:rPr>
          <w:b/>
          <w:lang w:val="ru-RU"/>
        </w:rPr>
      </w:pPr>
      <w:r w:rsidRPr="00DB2937">
        <w:rPr>
          <w:b/>
          <w:lang w:val="sr-Cyrl-CS"/>
        </w:rPr>
        <w:t>О Г Л А Ш А В А</w:t>
      </w:r>
    </w:p>
    <w:p w:rsidR="00F515CF" w:rsidRPr="00DB2937" w:rsidRDefault="00F515CF" w:rsidP="00F515CF">
      <w:pPr>
        <w:spacing w:line="276" w:lineRule="auto"/>
        <w:rPr>
          <w:b/>
          <w:lang w:val="sr-Cyrl-CS"/>
        </w:rPr>
      </w:pPr>
    </w:p>
    <w:p w:rsidR="00F515CF" w:rsidRPr="00DB2937" w:rsidRDefault="00F515CF" w:rsidP="00F515CF">
      <w:pPr>
        <w:spacing w:line="276" w:lineRule="auto"/>
        <w:jc w:val="both"/>
        <w:rPr>
          <w:b/>
          <w:lang w:val="sr-Cyrl-CS"/>
        </w:rPr>
      </w:pPr>
      <w:r w:rsidRPr="00DB2937">
        <w:rPr>
          <w:b/>
          <w:lang w:val="sr-Cyrl-CS"/>
        </w:rPr>
        <w:t xml:space="preserve">Продају </w:t>
      </w:r>
      <w:r w:rsidR="004A2747">
        <w:rPr>
          <w:b/>
          <w:lang w:val="sr-Cyrl-RS"/>
        </w:rPr>
        <w:t>не</w:t>
      </w:r>
      <w:proofErr w:type="spellStart"/>
      <w:r w:rsidRPr="00DB2937">
        <w:rPr>
          <w:b/>
        </w:rPr>
        <w:t>покретне</w:t>
      </w:r>
      <w:proofErr w:type="spellEnd"/>
      <w:r w:rsidRPr="00DB2937">
        <w:rPr>
          <w:b/>
        </w:rPr>
        <w:t xml:space="preserve"> </w:t>
      </w:r>
      <w:r w:rsidRPr="00DB2937">
        <w:rPr>
          <w:b/>
          <w:lang w:val="sr-Cyrl-CS"/>
        </w:rPr>
        <w:t>имовине стечајног дужника методом јавног надметања</w:t>
      </w:r>
    </w:p>
    <w:p w:rsidR="007D2157" w:rsidRPr="00DB2937" w:rsidRDefault="007D2157" w:rsidP="00F515CF">
      <w:pPr>
        <w:spacing w:line="276" w:lineRule="auto"/>
        <w:jc w:val="both"/>
        <w:rPr>
          <w:b/>
          <w:lang w:val="sr-Cyrl-CS"/>
        </w:rPr>
      </w:pPr>
    </w:p>
    <w:p w:rsidR="007D2157" w:rsidRPr="00DB2937" w:rsidRDefault="007D2157" w:rsidP="00F515CF">
      <w:pPr>
        <w:spacing w:line="276" w:lineRule="auto"/>
        <w:jc w:val="both"/>
        <w:rPr>
          <w:b/>
          <w:lang w:val="sr-Cyrl-CS"/>
        </w:rPr>
      </w:pPr>
      <w:r w:rsidRPr="00DB2937">
        <w:rPr>
          <w:b/>
          <w:lang w:val="sr-Cyrl-CS"/>
        </w:rPr>
        <w:t xml:space="preserve">Предмет продаје представља </w:t>
      </w:r>
      <w:r w:rsidR="00D02908">
        <w:rPr>
          <w:b/>
          <w:lang w:val="sr-Cyrl-CS"/>
        </w:rPr>
        <w:t>НЕ</w:t>
      </w:r>
      <w:r w:rsidR="00D02908" w:rsidRPr="00DB2937">
        <w:rPr>
          <w:b/>
        </w:rPr>
        <w:t>ПОКРЕТНА</w:t>
      </w:r>
      <w:r w:rsidRPr="00DB2937">
        <w:rPr>
          <w:b/>
        </w:rPr>
        <w:t xml:space="preserve"> </w:t>
      </w:r>
      <w:r w:rsidRPr="00DB2937">
        <w:rPr>
          <w:b/>
          <w:lang w:val="sr-Cyrl-CS"/>
        </w:rPr>
        <w:t>имовина груписана у следеће имовинске целине:</w:t>
      </w:r>
    </w:p>
    <w:p w:rsidR="00F515CF" w:rsidRPr="00DB2937" w:rsidRDefault="00F515CF" w:rsidP="00F515CF">
      <w:pPr>
        <w:spacing w:line="276" w:lineRule="auto"/>
        <w:rPr>
          <w:b/>
          <w:lang w:val="sr-Cyrl-CS"/>
        </w:rPr>
      </w:pPr>
    </w:p>
    <w:p w:rsidR="00F515CF" w:rsidRPr="00DB2937" w:rsidRDefault="007D2157" w:rsidP="00F515CF">
      <w:pPr>
        <w:spacing w:line="276" w:lineRule="auto"/>
        <w:jc w:val="both"/>
        <w:rPr>
          <w:lang w:val="sr-Cyrl-CS" w:eastAsia="sr-Latn-CS"/>
        </w:rPr>
      </w:pPr>
      <w:r w:rsidRPr="00DB2937">
        <w:rPr>
          <w:lang w:val="sr-Cyrl-CS" w:eastAsia="sr-Latn-CS"/>
        </w:rPr>
        <w:t>Целина 1</w:t>
      </w:r>
    </w:p>
    <w:tbl>
      <w:tblPr>
        <w:tblW w:w="9146"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6"/>
        <w:gridCol w:w="1350"/>
        <w:gridCol w:w="1230"/>
        <w:gridCol w:w="1420"/>
      </w:tblGrid>
      <w:tr w:rsidR="007D2157" w:rsidRPr="00DB2937" w:rsidTr="00DB2937">
        <w:trPr>
          <w:trHeight w:val="287"/>
        </w:trPr>
        <w:tc>
          <w:tcPr>
            <w:tcW w:w="5146" w:type="dxa"/>
            <w:shd w:val="clear" w:color="auto" w:fill="C4D79B"/>
          </w:tcPr>
          <w:p w:rsidR="007D2157" w:rsidRPr="00DB2937" w:rsidRDefault="007D2157" w:rsidP="007D2157">
            <w:pPr>
              <w:pStyle w:val="TableParagraph"/>
              <w:ind w:left="360"/>
              <w:jc w:val="center"/>
              <w:rPr>
                <w:rFonts w:ascii="Times New Roman" w:hAnsi="Times New Roman" w:cs="Times New Roman"/>
              </w:rPr>
            </w:pPr>
            <w:r w:rsidRPr="00DB2937">
              <w:rPr>
                <w:rFonts w:ascii="Times New Roman" w:hAnsi="Times New Roman" w:cs="Times New Roman"/>
                <w:b/>
                <w:w w:val="80"/>
                <w:lang w:val="sr-Cyrl-RS"/>
              </w:rPr>
              <w:t>Предмет продаје</w:t>
            </w:r>
          </w:p>
        </w:tc>
        <w:tc>
          <w:tcPr>
            <w:tcW w:w="1350" w:type="dxa"/>
            <w:shd w:val="clear" w:color="auto" w:fill="C4D79B"/>
          </w:tcPr>
          <w:p w:rsidR="007D2157" w:rsidRPr="00DB2937" w:rsidRDefault="00DB2937" w:rsidP="00DB2937">
            <w:pPr>
              <w:pStyle w:val="TableParagraph"/>
              <w:spacing w:before="37"/>
              <w:rPr>
                <w:rFonts w:ascii="Times New Roman" w:hAnsi="Times New Roman" w:cs="Times New Roman"/>
                <w:b/>
                <w:spacing w:val="-4"/>
                <w:w w:val="90"/>
              </w:rPr>
            </w:pPr>
            <w:r>
              <w:rPr>
                <w:rFonts w:ascii="Times New Roman" w:hAnsi="Times New Roman" w:cs="Times New Roman"/>
                <w:b/>
                <w:spacing w:val="-2"/>
                <w:w w:val="90"/>
                <w:lang w:val="sr-Cyrl-RS"/>
              </w:rPr>
              <w:t xml:space="preserve">     </w:t>
            </w:r>
            <w:r w:rsidR="007D2157" w:rsidRPr="00DB2937">
              <w:rPr>
                <w:rFonts w:ascii="Times New Roman" w:hAnsi="Times New Roman" w:cs="Times New Roman"/>
                <w:b/>
                <w:spacing w:val="-2"/>
                <w:w w:val="90"/>
                <w:lang w:val="sr-Cyrl-RS"/>
              </w:rPr>
              <w:t>Површина</w:t>
            </w:r>
          </w:p>
        </w:tc>
        <w:tc>
          <w:tcPr>
            <w:tcW w:w="1230" w:type="dxa"/>
            <w:shd w:val="clear" w:color="auto" w:fill="C4D79B"/>
          </w:tcPr>
          <w:p w:rsidR="007D2157" w:rsidRPr="00DB2937" w:rsidRDefault="007D2157" w:rsidP="007D2157">
            <w:pPr>
              <w:pStyle w:val="TableParagraph"/>
              <w:spacing w:before="37"/>
              <w:ind w:left="360"/>
              <w:jc w:val="center"/>
              <w:rPr>
                <w:rFonts w:ascii="Times New Roman" w:hAnsi="Times New Roman" w:cs="Times New Roman"/>
                <w:b/>
                <w:spacing w:val="-4"/>
                <w:w w:val="90"/>
                <w:lang w:val="sr-Cyrl-RS"/>
              </w:rPr>
            </w:pPr>
            <w:r w:rsidRPr="00DB2937">
              <w:rPr>
                <w:rFonts w:ascii="Times New Roman" w:hAnsi="Times New Roman" w:cs="Times New Roman"/>
                <w:b/>
                <w:spacing w:val="-4"/>
                <w:w w:val="90"/>
                <w:lang w:val="sr-Cyrl-RS"/>
              </w:rPr>
              <w:t>Почетна цена</w:t>
            </w:r>
          </w:p>
        </w:tc>
        <w:tc>
          <w:tcPr>
            <w:tcW w:w="1420" w:type="dxa"/>
            <w:shd w:val="clear" w:color="auto" w:fill="C4D79B"/>
          </w:tcPr>
          <w:p w:rsidR="007D2157" w:rsidRPr="00DB2937" w:rsidRDefault="007D2157" w:rsidP="007D2157">
            <w:pPr>
              <w:pStyle w:val="TableParagraph"/>
              <w:spacing w:before="37"/>
              <w:ind w:left="360"/>
              <w:jc w:val="center"/>
              <w:rPr>
                <w:rFonts w:ascii="Times New Roman" w:hAnsi="Times New Roman" w:cs="Times New Roman"/>
                <w:b/>
                <w:spacing w:val="-4"/>
                <w:w w:val="90"/>
                <w:lang w:val="sr-Cyrl-RS"/>
              </w:rPr>
            </w:pPr>
            <w:r w:rsidRPr="00DB2937">
              <w:rPr>
                <w:rFonts w:ascii="Times New Roman" w:hAnsi="Times New Roman" w:cs="Times New Roman"/>
                <w:b/>
                <w:spacing w:val="-4"/>
                <w:w w:val="90"/>
                <w:lang w:val="sr-Cyrl-RS"/>
              </w:rPr>
              <w:t>Депозит</w:t>
            </w:r>
          </w:p>
        </w:tc>
      </w:tr>
      <w:tr w:rsidR="007D2157" w:rsidRPr="00DB2937" w:rsidTr="00DB2937">
        <w:trPr>
          <w:trHeight w:val="287"/>
        </w:trPr>
        <w:tc>
          <w:tcPr>
            <w:tcW w:w="5146" w:type="dxa"/>
            <w:shd w:val="clear" w:color="auto" w:fill="C4D79B"/>
          </w:tcPr>
          <w:p w:rsidR="007D2157" w:rsidRPr="00DB2937" w:rsidRDefault="007D2157" w:rsidP="00203D19">
            <w:pPr>
              <w:pStyle w:val="TableParagraph"/>
              <w:rPr>
                <w:rFonts w:ascii="Times New Roman" w:hAnsi="Times New Roman" w:cs="Times New Roman"/>
              </w:rPr>
            </w:pPr>
          </w:p>
        </w:tc>
        <w:tc>
          <w:tcPr>
            <w:tcW w:w="1350" w:type="dxa"/>
            <w:shd w:val="clear" w:color="auto" w:fill="C4D79B"/>
          </w:tcPr>
          <w:p w:rsidR="007D2157" w:rsidRPr="00DB2937" w:rsidRDefault="007D2157" w:rsidP="00203D19">
            <w:pPr>
              <w:pStyle w:val="TableParagraph"/>
              <w:spacing w:before="37"/>
              <w:ind w:left="333"/>
              <w:rPr>
                <w:rFonts w:ascii="Times New Roman" w:hAnsi="Times New Roman" w:cs="Times New Roman"/>
                <w:b/>
              </w:rPr>
            </w:pPr>
            <w:r w:rsidRPr="00DB2937">
              <w:rPr>
                <w:rFonts w:ascii="Times New Roman" w:hAnsi="Times New Roman" w:cs="Times New Roman"/>
                <w:b/>
                <w:spacing w:val="-4"/>
                <w:w w:val="90"/>
              </w:rPr>
              <w:t>(m2)</w:t>
            </w:r>
          </w:p>
        </w:tc>
        <w:tc>
          <w:tcPr>
            <w:tcW w:w="1230" w:type="dxa"/>
            <w:shd w:val="clear" w:color="auto" w:fill="C4D79B"/>
          </w:tcPr>
          <w:p w:rsidR="007D2157" w:rsidRPr="00DB2937" w:rsidRDefault="00D62649" w:rsidP="00203D19">
            <w:pPr>
              <w:pStyle w:val="TableParagraph"/>
              <w:spacing w:before="37"/>
              <w:ind w:left="29"/>
              <w:jc w:val="center"/>
              <w:rPr>
                <w:rFonts w:ascii="Times New Roman" w:hAnsi="Times New Roman" w:cs="Times New Roman"/>
                <w:b/>
              </w:rPr>
            </w:pPr>
            <w:r>
              <w:rPr>
                <w:rFonts w:ascii="Times New Roman" w:hAnsi="Times New Roman" w:cs="Times New Roman"/>
                <w:b/>
                <w:spacing w:val="-4"/>
                <w:w w:val="90"/>
              </w:rPr>
              <w:t>(</w:t>
            </w:r>
            <w:r>
              <w:rPr>
                <w:rFonts w:ascii="Times New Roman" w:hAnsi="Times New Roman" w:cs="Times New Roman"/>
                <w:b/>
                <w:spacing w:val="-4"/>
                <w:w w:val="90"/>
                <w:lang w:val="sr-Cyrl-RS"/>
              </w:rPr>
              <w:t>РСД</w:t>
            </w:r>
            <w:r w:rsidR="007D2157" w:rsidRPr="00DB2937">
              <w:rPr>
                <w:rFonts w:ascii="Times New Roman" w:hAnsi="Times New Roman" w:cs="Times New Roman"/>
                <w:b/>
                <w:spacing w:val="-4"/>
                <w:w w:val="90"/>
              </w:rPr>
              <w:t>)</w:t>
            </w:r>
          </w:p>
        </w:tc>
        <w:tc>
          <w:tcPr>
            <w:tcW w:w="1420" w:type="dxa"/>
            <w:shd w:val="clear" w:color="auto" w:fill="C4D79B"/>
          </w:tcPr>
          <w:p w:rsidR="007D2157" w:rsidRPr="00DB2937" w:rsidRDefault="007D2157" w:rsidP="00203D19">
            <w:pPr>
              <w:pStyle w:val="TableParagraph"/>
              <w:spacing w:before="37"/>
              <w:ind w:left="30"/>
              <w:jc w:val="center"/>
              <w:rPr>
                <w:rFonts w:ascii="Times New Roman" w:hAnsi="Times New Roman" w:cs="Times New Roman"/>
                <w:b/>
              </w:rPr>
            </w:pPr>
            <w:r w:rsidRPr="00DB2937">
              <w:rPr>
                <w:rFonts w:ascii="Times New Roman" w:hAnsi="Times New Roman" w:cs="Times New Roman"/>
                <w:b/>
                <w:spacing w:val="-4"/>
                <w:w w:val="90"/>
              </w:rPr>
              <w:t>(RSD)</w:t>
            </w:r>
          </w:p>
        </w:tc>
      </w:tr>
      <w:tr w:rsidR="007D2157" w:rsidRPr="00DB2937" w:rsidTr="00DB2937">
        <w:trPr>
          <w:trHeight w:val="288"/>
        </w:trPr>
        <w:tc>
          <w:tcPr>
            <w:tcW w:w="5146" w:type="dxa"/>
            <w:tcBorders>
              <w:left w:val="single" w:sz="8" w:space="0" w:color="838A90"/>
              <w:right w:val="single" w:sz="8" w:space="0" w:color="838A90"/>
            </w:tcBorders>
          </w:tcPr>
          <w:p w:rsidR="007D2157" w:rsidRPr="00DB2937" w:rsidRDefault="007D2157" w:rsidP="00203D19">
            <w:pPr>
              <w:pStyle w:val="TableParagraph"/>
              <w:spacing w:before="38"/>
              <w:ind w:left="113"/>
              <w:rPr>
                <w:rFonts w:ascii="Times New Roman" w:hAnsi="Times New Roman" w:cs="Times New Roman"/>
                <w:b/>
                <w:lang w:val="sr-Cyrl-RS"/>
              </w:rPr>
            </w:pPr>
            <w:r w:rsidRPr="00DB2937">
              <w:rPr>
                <w:rFonts w:ascii="Times New Roman" w:hAnsi="Times New Roman" w:cs="Times New Roman"/>
                <w:b/>
                <w:spacing w:val="-2"/>
                <w:w w:val="90"/>
                <w:lang w:val="sr-Cyrl-RS"/>
              </w:rPr>
              <w:t>Обејкат</w:t>
            </w:r>
          </w:p>
        </w:tc>
        <w:tc>
          <w:tcPr>
            <w:tcW w:w="1350" w:type="dxa"/>
            <w:tcBorders>
              <w:left w:val="single" w:sz="8" w:space="0" w:color="838A90"/>
              <w:right w:val="single" w:sz="8" w:space="0" w:color="838A90"/>
            </w:tcBorders>
          </w:tcPr>
          <w:p w:rsidR="007D2157" w:rsidRPr="00DB2937" w:rsidRDefault="007D2157" w:rsidP="00203D19">
            <w:pPr>
              <w:pStyle w:val="TableParagraph"/>
              <w:rPr>
                <w:rFonts w:ascii="Times New Roman" w:hAnsi="Times New Roman" w:cs="Times New Roman"/>
              </w:rPr>
            </w:pPr>
          </w:p>
        </w:tc>
        <w:tc>
          <w:tcPr>
            <w:tcW w:w="1230" w:type="dxa"/>
            <w:tcBorders>
              <w:left w:val="single" w:sz="8" w:space="0" w:color="838A90"/>
              <w:right w:val="single" w:sz="8" w:space="0" w:color="838A90"/>
            </w:tcBorders>
          </w:tcPr>
          <w:p w:rsidR="007D2157" w:rsidRPr="00DB2937" w:rsidRDefault="007D2157" w:rsidP="00203D19">
            <w:pPr>
              <w:pStyle w:val="TableParagraph"/>
              <w:rPr>
                <w:rFonts w:ascii="Times New Roman" w:hAnsi="Times New Roman" w:cs="Times New Roman"/>
              </w:rPr>
            </w:pPr>
          </w:p>
        </w:tc>
        <w:tc>
          <w:tcPr>
            <w:tcW w:w="1420" w:type="dxa"/>
            <w:tcBorders>
              <w:left w:val="single" w:sz="8" w:space="0" w:color="838A90"/>
              <w:right w:val="single" w:sz="12" w:space="0" w:color="838A90"/>
            </w:tcBorders>
          </w:tcPr>
          <w:p w:rsidR="007D2157" w:rsidRPr="00DB2937" w:rsidRDefault="007D2157" w:rsidP="00203D19">
            <w:pPr>
              <w:pStyle w:val="TableParagraph"/>
              <w:rPr>
                <w:rFonts w:ascii="Times New Roman" w:hAnsi="Times New Roman" w:cs="Times New Roman"/>
              </w:rPr>
            </w:pPr>
          </w:p>
        </w:tc>
      </w:tr>
      <w:tr w:rsidR="007D2157" w:rsidRPr="00DB2937" w:rsidTr="00DB2937">
        <w:trPr>
          <w:trHeight w:val="413"/>
        </w:trPr>
        <w:tc>
          <w:tcPr>
            <w:tcW w:w="5146" w:type="dxa"/>
          </w:tcPr>
          <w:p w:rsidR="007D2157" w:rsidRPr="00DB2937" w:rsidRDefault="007D2157" w:rsidP="00203D19">
            <w:pPr>
              <w:pStyle w:val="TableParagraph"/>
              <w:spacing w:line="206" w:lineRule="exact"/>
              <w:ind w:left="118" w:right="70"/>
              <w:rPr>
                <w:rFonts w:ascii="Times New Roman" w:hAnsi="Times New Roman" w:cs="Times New Roman"/>
              </w:rPr>
            </w:pPr>
            <w:r w:rsidRPr="00DB2937">
              <w:rPr>
                <w:rFonts w:ascii="Times New Roman" w:hAnsi="Times New Roman" w:cs="Times New Roman"/>
                <w:w w:val="80"/>
              </w:rPr>
              <w:t>Зграда прехрамбене индустрије и производње пића на КП 210 КО Крушевац, Железничка</w:t>
            </w:r>
          </w:p>
        </w:tc>
        <w:tc>
          <w:tcPr>
            <w:tcW w:w="1350" w:type="dxa"/>
          </w:tcPr>
          <w:p w:rsidR="007D2157" w:rsidRPr="00DB2937" w:rsidRDefault="007D2157" w:rsidP="00203D19">
            <w:pPr>
              <w:pStyle w:val="TableParagraph"/>
              <w:spacing w:before="102"/>
              <w:ind w:left="615"/>
              <w:rPr>
                <w:rFonts w:ascii="Times New Roman" w:hAnsi="Times New Roman" w:cs="Times New Roman"/>
              </w:rPr>
            </w:pPr>
            <w:r w:rsidRPr="00DB2937">
              <w:rPr>
                <w:rFonts w:ascii="Times New Roman" w:hAnsi="Times New Roman" w:cs="Times New Roman"/>
                <w:spacing w:val="-5"/>
                <w:w w:val="90"/>
              </w:rPr>
              <w:t>203</w:t>
            </w:r>
          </w:p>
        </w:tc>
        <w:tc>
          <w:tcPr>
            <w:tcW w:w="1230" w:type="dxa"/>
          </w:tcPr>
          <w:p w:rsidR="007D2157" w:rsidRPr="00D62649" w:rsidRDefault="00D62649" w:rsidP="00203D19">
            <w:pPr>
              <w:pStyle w:val="TableParagraph"/>
              <w:spacing w:before="102"/>
              <w:ind w:left="153"/>
              <w:jc w:val="center"/>
              <w:rPr>
                <w:rFonts w:ascii="Times New Roman" w:hAnsi="Times New Roman" w:cs="Times New Roman"/>
                <w:lang w:val="sr-Cyrl-RS"/>
              </w:rPr>
            </w:pPr>
            <w:r>
              <w:rPr>
                <w:rFonts w:ascii="Times New Roman" w:hAnsi="Times New Roman" w:cs="Times New Roman"/>
                <w:spacing w:val="-2"/>
                <w:w w:val="90"/>
                <w:lang w:val="sr-Cyrl-RS"/>
              </w:rPr>
              <w:t>7.364.890,00</w:t>
            </w:r>
          </w:p>
        </w:tc>
        <w:tc>
          <w:tcPr>
            <w:tcW w:w="1420" w:type="dxa"/>
          </w:tcPr>
          <w:p w:rsidR="007D2157" w:rsidRPr="00D62649" w:rsidRDefault="00D62649" w:rsidP="00D62649">
            <w:pPr>
              <w:pStyle w:val="TableParagraph"/>
              <w:spacing w:before="102"/>
              <w:rPr>
                <w:rFonts w:ascii="Times New Roman" w:hAnsi="Times New Roman" w:cs="Times New Roman"/>
                <w:lang w:val="sr-Cyrl-RS"/>
              </w:rPr>
            </w:pPr>
            <w:r>
              <w:rPr>
                <w:rFonts w:ascii="Times New Roman" w:hAnsi="Times New Roman" w:cs="Times New Roman"/>
                <w:spacing w:val="-2"/>
                <w:w w:val="90"/>
                <w:lang w:val="sr-Cyrl-RS"/>
              </w:rPr>
              <w:t xml:space="preserve">   2.945.956,00</w:t>
            </w:r>
          </w:p>
        </w:tc>
      </w:tr>
    </w:tbl>
    <w:p w:rsidR="007D2157" w:rsidRPr="00DB2937" w:rsidRDefault="007D2157" w:rsidP="00F515CF">
      <w:pPr>
        <w:spacing w:line="276" w:lineRule="auto"/>
        <w:jc w:val="both"/>
        <w:rPr>
          <w:lang w:val="sr-Cyrl-CS" w:eastAsia="sr-Latn-CS"/>
        </w:rPr>
      </w:pPr>
    </w:p>
    <w:p w:rsidR="007D2157" w:rsidRPr="00DB2937" w:rsidRDefault="007D2157" w:rsidP="00F515CF">
      <w:pPr>
        <w:spacing w:line="276" w:lineRule="auto"/>
        <w:jc w:val="both"/>
        <w:rPr>
          <w:lang w:val="sr-Cyrl-CS" w:eastAsia="sr-Latn-CS"/>
        </w:rPr>
      </w:pPr>
      <w:r w:rsidRPr="00DB2937">
        <w:rPr>
          <w:lang w:val="sr-Cyrl-CS" w:eastAsia="sr-Latn-CS"/>
        </w:rPr>
        <w:t>Целина 2</w:t>
      </w:r>
    </w:p>
    <w:tbl>
      <w:tblPr>
        <w:tblW w:w="9196"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6"/>
        <w:gridCol w:w="1350"/>
        <w:gridCol w:w="1260"/>
        <w:gridCol w:w="1440"/>
      </w:tblGrid>
      <w:tr w:rsidR="007D2157" w:rsidRPr="00DB2937" w:rsidTr="00DB2937">
        <w:trPr>
          <w:trHeight w:val="288"/>
        </w:trPr>
        <w:tc>
          <w:tcPr>
            <w:tcW w:w="5146" w:type="dxa"/>
            <w:shd w:val="clear" w:color="auto" w:fill="C4D79B"/>
          </w:tcPr>
          <w:p w:rsidR="007D2157" w:rsidRPr="00DB2937" w:rsidRDefault="007D2157" w:rsidP="007D2157">
            <w:pPr>
              <w:pStyle w:val="TableParagraph"/>
              <w:jc w:val="center"/>
              <w:rPr>
                <w:rFonts w:ascii="Times New Roman" w:hAnsi="Times New Roman" w:cs="Times New Roman"/>
              </w:rPr>
            </w:pPr>
            <w:r w:rsidRPr="00DB2937">
              <w:rPr>
                <w:rFonts w:ascii="Times New Roman" w:hAnsi="Times New Roman" w:cs="Times New Roman"/>
                <w:b/>
                <w:w w:val="80"/>
                <w:lang w:val="sr-Cyrl-RS"/>
              </w:rPr>
              <w:t>Предмет продаје</w:t>
            </w:r>
          </w:p>
        </w:tc>
        <w:tc>
          <w:tcPr>
            <w:tcW w:w="1350" w:type="dxa"/>
            <w:shd w:val="clear" w:color="auto" w:fill="C4D79B"/>
          </w:tcPr>
          <w:p w:rsidR="007D2157" w:rsidRPr="00DB2937" w:rsidRDefault="007D2157" w:rsidP="00DB2937">
            <w:pPr>
              <w:pStyle w:val="TableParagraph"/>
              <w:spacing w:before="38"/>
              <w:jc w:val="center"/>
              <w:rPr>
                <w:rFonts w:ascii="Times New Roman" w:hAnsi="Times New Roman" w:cs="Times New Roman"/>
                <w:b/>
                <w:spacing w:val="-4"/>
                <w:w w:val="90"/>
              </w:rPr>
            </w:pPr>
            <w:r w:rsidRPr="00DB2937">
              <w:rPr>
                <w:rFonts w:ascii="Times New Roman" w:hAnsi="Times New Roman" w:cs="Times New Roman"/>
                <w:b/>
                <w:lang w:val="sr-Cyrl-RS"/>
              </w:rPr>
              <w:t>Површина</w:t>
            </w:r>
          </w:p>
        </w:tc>
        <w:tc>
          <w:tcPr>
            <w:tcW w:w="1260" w:type="dxa"/>
            <w:shd w:val="clear" w:color="auto" w:fill="C4D79B"/>
          </w:tcPr>
          <w:p w:rsidR="007D2157" w:rsidRPr="00DB2937" w:rsidRDefault="007D2157" w:rsidP="007D2157">
            <w:pPr>
              <w:pStyle w:val="TableParagraph"/>
              <w:spacing w:before="38"/>
              <w:ind w:left="345"/>
              <w:jc w:val="center"/>
              <w:rPr>
                <w:rFonts w:ascii="Times New Roman" w:hAnsi="Times New Roman" w:cs="Times New Roman"/>
                <w:b/>
                <w:spacing w:val="-4"/>
                <w:w w:val="90"/>
              </w:rPr>
            </w:pPr>
            <w:r w:rsidRPr="00DB2937">
              <w:rPr>
                <w:rFonts w:ascii="Times New Roman" w:hAnsi="Times New Roman" w:cs="Times New Roman"/>
                <w:b/>
                <w:spacing w:val="-4"/>
                <w:w w:val="90"/>
                <w:lang w:val="sr-Cyrl-RS"/>
              </w:rPr>
              <w:t>Почетна цена</w:t>
            </w:r>
          </w:p>
        </w:tc>
        <w:tc>
          <w:tcPr>
            <w:tcW w:w="1440" w:type="dxa"/>
            <w:shd w:val="clear" w:color="auto" w:fill="C4D79B"/>
          </w:tcPr>
          <w:p w:rsidR="007D2157" w:rsidRPr="00DB2937" w:rsidRDefault="007D2157" w:rsidP="007D2157">
            <w:pPr>
              <w:pStyle w:val="TableParagraph"/>
              <w:spacing w:before="38"/>
              <w:ind w:left="30"/>
              <w:jc w:val="center"/>
              <w:rPr>
                <w:rFonts w:ascii="Times New Roman" w:hAnsi="Times New Roman" w:cs="Times New Roman"/>
                <w:b/>
                <w:spacing w:val="-4"/>
                <w:w w:val="90"/>
                <w:lang w:val="sr-Cyrl-RS"/>
              </w:rPr>
            </w:pPr>
            <w:r w:rsidRPr="00DB2937">
              <w:rPr>
                <w:rFonts w:ascii="Times New Roman" w:hAnsi="Times New Roman" w:cs="Times New Roman"/>
                <w:b/>
                <w:spacing w:val="-4"/>
                <w:w w:val="90"/>
                <w:lang w:val="sr-Cyrl-RS"/>
              </w:rPr>
              <w:t>Депозит</w:t>
            </w:r>
          </w:p>
        </w:tc>
      </w:tr>
      <w:tr w:rsidR="007D2157" w:rsidRPr="00DB2937" w:rsidTr="00DB2937">
        <w:trPr>
          <w:trHeight w:val="288"/>
        </w:trPr>
        <w:tc>
          <w:tcPr>
            <w:tcW w:w="5146" w:type="dxa"/>
            <w:shd w:val="clear" w:color="auto" w:fill="C4D79B"/>
          </w:tcPr>
          <w:p w:rsidR="007D2157" w:rsidRPr="00DB2937" w:rsidRDefault="007D2157" w:rsidP="00203D19">
            <w:pPr>
              <w:pStyle w:val="TableParagraph"/>
              <w:rPr>
                <w:rFonts w:ascii="Times New Roman" w:hAnsi="Times New Roman" w:cs="Times New Roman"/>
              </w:rPr>
            </w:pPr>
          </w:p>
        </w:tc>
        <w:tc>
          <w:tcPr>
            <w:tcW w:w="1350" w:type="dxa"/>
            <w:shd w:val="clear" w:color="auto" w:fill="C4D79B"/>
          </w:tcPr>
          <w:p w:rsidR="007D2157" w:rsidRPr="00DB2937" w:rsidRDefault="007D2157" w:rsidP="00203D19">
            <w:pPr>
              <w:pStyle w:val="TableParagraph"/>
              <w:spacing w:before="38"/>
              <w:ind w:left="274"/>
              <w:rPr>
                <w:rFonts w:ascii="Times New Roman" w:hAnsi="Times New Roman" w:cs="Times New Roman"/>
                <w:b/>
              </w:rPr>
            </w:pPr>
            <w:r w:rsidRPr="00DB2937">
              <w:rPr>
                <w:rFonts w:ascii="Times New Roman" w:hAnsi="Times New Roman" w:cs="Times New Roman"/>
                <w:b/>
                <w:spacing w:val="-4"/>
                <w:w w:val="90"/>
              </w:rPr>
              <w:t>(m2)</w:t>
            </w:r>
          </w:p>
        </w:tc>
        <w:tc>
          <w:tcPr>
            <w:tcW w:w="1260" w:type="dxa"/>
            <w:shd w:val="clear" w:color="auto" w:fill="C4D79B"/>
          </w:tcPr>
          <w:p w:rsidR="007D2157" w:rsidRPr="00DB2937" w:rsidRDefault="00D62649" w:rsidP="00D62649">
            <w:pPr>
              <w:pStyle w:val="TableParagraph"/>
              <w:spacing w:before="38"/>
              <w:ind w:left="345"/>
              <w:rPr>
                <w:rFonts w:ascii="Times New Roman" w:hAnsi="Times New Roman" w:cs="Times New Roman"/>
                <w:b/>
              </w:rPr>
            </w:pPr>
            <w:r>
              <w:rPr>
                <w:rFonts w:ascii="Times New Roman" w:hAnsi="Times New Roman" w:cs="Times New Roman"/>
                <w:b/>
                <w:spacing w:val="-4"/>
                <w:w w:val="90"/>
              </w:rPr>
              <w:t>(</w:t>
            </w:r>
            <w:r>
              <w:rPr>
                <w:rFonts w:ascii="Times New Roman" w:hAnsi="Times New Roman" w:cs="Times New Roman"/>
                <w:b/>
                <w:spacing w:val="-4"/>
                <w:w w:val="90"/>
                <w:lang w:val="sr-Cyrl-RS"/>
              </w:rPr>
              <w:t>РСД</w:t>
            </w:r>
            <w:r w:rsidR="007D2157" w:rsidRPr="00DB2937">
              <w:rPr>
                <w:rFonts w:ascii="Times New Roman" w:hAnsi="Times New Roman" w:cs="Times New Roman"/>
                <w:b/>
                <w:spacing w:val="-4"/>
                <w:w w:val="90"/>
              </w:rPr>
              <w:t>)</w:t>
            </w:r>
          </w:p>
        </w:tc>
        <w:tc>
          <w:tcPr>
            <w:tcW w:w="1440" w:type="dxa"/>
            <w:shd w:val="clear" w:color="auto" w:fill="C4D79B"/>
          </w:tcPr>
          <w:p w:rsidR="007D2157" w:rsidRPr="00DB2937" w:rsidRDefault="00B77FF3" w:rsidP="00B77FF3">
            <w:pPr>
              <w:pStyle w:val="TableParagraph"/>
              <w:spacing w:before="38"/>
              <w:ind w:left="30"/>
              <w:jc w:val="center"/>
              <w:rPr>
                <w:rFonts w:ascii="Times New Roman" w:hAnsi="Times New Roman" w:cs="Times New Roman"/>
                <w:b/>
              </w:rPr>
            </w:pPr>
            <w:r>
              <w:rPr>
                <w:rFonts w:ascii="Times New Roman" w:hAnsi="Times New Roman" w:cs="Times New Roman"/>
                <w:b/>
                <w:spacing w:val="-4"/>
                <w:w w:val="90"/>
              </w:rPr>
              <w:t>(</w:t>
            </w:r>
            <w:r>
              <w:rPr>
                <w:rFonts w:ascii="Times New Roman" w:hAnsi="Times New Roman" w:cs="Times New Roman"/>
                <w:b/>
                <w:spacing w:val="-4"/>
                <w:w w:val="90"/>
                <w:lang w:val="sr-Cyrl-RS"/>
              </w:rPr>
              <w:t>РСД</w:t>
            </w:r>
            <w:r w:rsidR="007D2157" w:rsidRPr="00DB2937">
              <w:rPr>
                <w:rFonts w:ascii="Times New Roman" w:hAnsi="Times New Roman" w:cs="Times New Roman"/>
                <w:b/>
                <w:spacing w:val="-4"/>
                <w:w w:val="90"/>
              </w:rPr>
              <w:t>)</w:t>
            </w:r>
          </w:p>
        </w:tc>
      </w:tr>
      <w:tr w:rsidR="007D2157" w:rsidRPr="00DB2937" w:rsidTr="00DB2937">
        <w:trPr>
          <w:trHeight w:val="287"/>
        </w:trPr>
        <w:tc>
          <w:tcPr>
            <w:tcW w:w="5146" w:type="dxa"/>
            <w:tcBorders>
              <w:left w:val="single" w:sz="8" w:space="0" w:color="838A90"/>
              <w:right w:val="single" w:sz="8" w:space="0" w:color="838A90"/>
            </w:tcBorders>
          </w:tcPr>
          <w:p w:rsidR="007D2157" w:rsidRPr="00DB2937" w:rsidRDefault="007D2157" w:rsidP="00203D19">
            <w:pPr>
              <w:pStyle w:val="TableParagraph"/>
              <w:spacing w:before="37"/>
              <w:ind w:left="113"/>
              <w:rPr>
                <w:rFonts w:ascii="Times New Roman" w:hAnsi="Times New Roman" w:cs="Times New Roman"/>
                <w:b/>
                <w:lang w:val="sr-Cyrl-RS"/>
              </w:rPr>
            </w:pPr>
            <w:r w:rsidRPr="00DB2937">
              <w:rPr>
                <w:rFonts w:ascii="Times New Roman" w:hAnsi="Times New Roman" w:cs="Times New Roman"/>
                <w:b/>
                <w:spacing w:val="-2"/>
                <w:w w:val="90"/>
                <w:lang w:val="sr-Cyrl-RS"/>
              </w:rPr>
              <w:t>Објекат</w:t>
            </w:r>
          </w:p>
        </w:tc>
        <w:tc>
          <w:tcPr>
            <w:tcW w:w="1350" w:type="dxa"/>
            <w:tcBorders>
              <w:left w:val="single" w:sz="8" w:space="0" w:color="838A90"/>
              <w:right w:val="single" w:sz="8" w:space="0" w:color="838A90"/>
            </w:tcBorders>
          </w:tcPr>
          <w:p w:rsidR="007D2157" w:rsidRPr="00DB2937" w:rsidRDefault="007D2157" w:rsidP="00203D19">
            <w:pPr>
              <w:pStyle w:val="TableParagraph"/>
              <w:rPr>
                <w:rFonts w:ascii="Times New Roman" w:hAnsi="Times New Roman" w:cs="Times New Roman"/>
              </w:rPr>
            </w:pPr>
          </w:p>
        </w:tc>
        <w:tc>
          <w:tcPr>
            <w:tcW w:w="1260" w:type="dxa"/>
            <w:tcBorders>
              <w:left w:val="single" w:sz="8" w:space="0" w:color="838A90"/>
              <w:right w:val="single" w:sz="8" w:space="0" w:color="838A90"/>
            </w:tcBorders>
          </w:tcPr>
          <w:p w:rsidR="007D2157" w:rsidRPr="00DB2937" w:rsidRDefault="007D2157" w:rsidP="00203D19">
            <w:pPr>
              <w:pStyle w:val="TableParagraph"/>
              <w:rPr>
                <w:rFonts w:ascii="Times New Roman" w:hAnsi="Times New Roman" w:cs="Times New Roman"/>
              </w:rPr>
            </w:pPr>
          </w:p>
        </w:tc>
        <w:tc>
          <w:tcPr>
            <w:tcW w:w="1440" w:type="dxa"/>
            <w:tcBorders>
              <w:left w:val="single" w:sz="8" w:space="0" w:color="838A90"/>
              <w:right w:val="single" w:sz="12" w:space="0" w:color="838A90"/>
            </w:tcBorders>
          </w:tcPr>
          <w:p w:rsidR="007D2157" w:rsidRPr="00DB2937" w:rsidRDefault="007D2157" w:rsidP="00203D19">
            <w:pPr>
              <w:pStyle w:val="TableParagraph"/>
              <w:rPr>
                <w:rFonts w:ascii="Times New Roman" w:hAnsi="Times New Roman" w:cs="Times New Roman"/>
              </w:rPr>
            </w:pPr>
          </w:p>
        </w:tc>
      </w:tr>
      <w:tr w:rsidR="007D2157" w:rsidRPr="00DB2937" w:rsidTr="00DB2937">
        <w:trPr>
          <w:trHeight w:val="287"/>
        </w:trPr>
        <w:tc>
          <w:tcPr>
            <w:tcW w:w="5146" w:type="dxa"/>
          </w:tcPr>
          <w:p w:rsidR="007D2157" w:rsidRPr="00DB2937" w:rsidRDefault="007D2157" w:rsidP="00203D19">
            <w:pPr>
              <w:pStyle w:val="TableParagraph"/>
              <w:spacing w:before="40"/>
              <w:ind w:left="118"/>
              <w:rPr>
                <w:rFonts w:ascii="Times New Roman" w:hAnsi="Times New Roman" w:cs="Times New Roman"/>
              </w:rPr>
            </w:pPr>
            <w:r w:rsidRPr="00DB2937">
              <w:rPr>
                <w:rFonts w:ascii="Times New Roman" w:hAnsi="Times New Roman" w:cs="Times New Roman"/>
                <w:w w:val="80"/>
              </w:rPr>
              <w:t>Помоћна зграда на КП 3300, КО Појате, Краља Александра 95</w:t>
            </w:r>
          </w:p>
        </w:tc>
        <w:tc>
          <w:tcPr>
            <w:tcW w:w="1350" w:type="dxa"/>
          </w:tcPr>
          <w:p w:rsidR="007D2157" w:rsidRPr="00DB2937" w:rsidRDefault="007D2157" w:rsidP="00203D19">
            <w:pPr>
              <w:pStyle w:val="TableParagraph"/>
              <w:spacing w:before="40"/>
              <w:ind w:right="88"/>
              <w:jc w:val="right"/>
              <w:rPr>
                <w:rFonts w:ascii="Times New Roman" w:hAnsi="Times New Roman" w:cs="Times New Roman"/>
              </w:rPr>
            </w:pPr>
            <w:r w:rsidRPr="00DB2937">
              <w:rPr>
                <w:rFonts w:ascii="Times New Roman" w:hAnsi="Times New Roman" w:cs="Times New Roman"/>
                <w:spacing w:val="-5"/>
                <w:w w:val="90"/>
              </w:rPr>
              <w:t>653</w:t>
            </w:r>
          </w:p>
        </w:tc>
        <w:tc>
          <w:tcPr>
            <w:tcW w:w="1260" w:type="dxa"/>
          </w:tcPr>
          <w:p w:rsidR="007D2157" w:rsidRPr="00D62649" w:rsidRDefault="00D62649" w:rsidP="00D62649">
            <w:pPr>
              <w:pStyle w:val="TableParagraph"/>
              <w:spacing w:before="40"/>
              <w:rPr>
                <w:rFonts w:ascii="Times New Roman" w:hAnsi="Times New Roman" w:cs="Times New Roman"/>
                <w:lang w:val="sr-Cyrl-RS"/>
              </w:rPr>
            </w:pPr>
            <w:r>
              <w:rPr>
                <w:rFonts w:ascii="Times New Roman" w:hAnsi="Times New Roman" w:cs="Times New Roman"/>
                <w:spacing w:val="-2"/>
                <w:w w:val="90"/>
                <w:lang w:val="sr-Cyrl-RS"/>
              </w:rPr>
              <w:t xml:space="preserve">   3.399.150,00</w:t>
            </w:r>
          </w:p>
        </w:tc>
        <w:tc>
          <w:tcPr>
            <w:tcW w:w="1440" w:type="dxa"/>
          </w:tcPr>
          <w:p w:rsidR="007D2157" w:rsidRPr="00D62649" w:rsidRDefault="00D62649" w:rsidP="00203D19">
            <w:pPr>
              <w:pStyle w:val="TableParagraph"/>
              <w:spacing w:before="40"/>
              <w:ind w:right="89"/>
              <w:jc w:val="right"/>
              <w:rPr>
                <w:rFonts w:ascii="Times New Roman" w:hAnsi="Times New Roman" w:cs="Times New Roman"/>
                <w:lang w:val="sr-Cyrl-RS"/>
              </w:rPr>
            </w:pPr>
            <w:r>
              <w:rPr>
                <w:rFonts w:ascii="Times New Roman" w:hAnsi="Times New Roman" w:cs="Times New Roman"/>
                <w:spacing w:val="-2"/>
                <w:w w:val="90"/>
                <w:lang w:val="sr-Cyrl-RS"/>
              </w:rPr>
              <w:t>1.359.660,00</w:t>
            </w:r>
          </w:p>
        </w:tc>
      </w:tr>
      <w:tr w:rsidR="007D2157" w:rsidRPr="00DB2937" w:rsidTr="00DB2937">
        <w:trPr>
          <w:trHeight w:val="288"/>
        </w:trPr>
        <w:tc>
          <w:tcPr>
            <w:tcW w:w="5146" w:type="dxa"/>
          </w:tcPr>
          <w:p w:rsidR="007D2157" w:rsidRPr="00DB2937" w:rsidRDefault="007D2157" w:rsidP="00203D19">
            <w:pPr>
              <w:pStyle w:val="TableParagraph"/>
              <w:spacing w:before="29"/>
              <w:ind w:left="118"/>
              <w:rPr>
                <w:rFonts w:ascii="Times New Roman" w:hAnsi="Times New Roman" w:cs="Times New Roman"/>
                <w:b/>
                <w:i/>
                <w:lang w:val="sr-Cyrl-RS"/>
              </w:rPr>
            </w:pPr>
            <w:r w:rsidRPr="00DB2937">
              <w:rPr>
                <w:rFonts w:ascii="Times New Roman" w:hAnsi="Times New Roman" w:cs="Times New Roman"/>
                <w:b/>
                <w:i/>
                <w:spacing w:val="-2"/>
                <w:w w:val="90"/>
                <w:lang w:val="sr-Cyrl-RS"/>
              </w:rPr>
              <w:t>Земљиште</w:t>
            </w:r>
          </w:p>
        </w:tc>
        <w:tc>
          <w:tcPr>
            <w:tcW w:w="1350" w:type="dxa"/>
          </w:tcPr>
          <w:p w:rsidR="007D2157" w:rsidRPr="00DB2937" w:rsidRDefault="007D2157" w:rsidP="00203D19">
            <w:pPr>
              <w:pStyle w:val="TableParagraph"/>
              <w:rPr>
                <w:rFonts w:ascii="Times New Roman" w:hAnsi="Times New Roman" w:cs="Times New Roman"/>
              </w:rPr>
            </w:pPr>
          </w:p>
        </w:tc>
        <w:tc>
          <w:tcPr>
            <w:tcW w:w="1260" w:type="dxa"/>
          </w:tcPr>
          <w:p w:rsidR="007D2157" w:rsidRPr="00DB2937" w:rsidRDefault="007D2157" w:rsidP="00203D19">
            <w:pPr>
              <w:pStyle w:val="TableParagraph"/>
              <w:rPr>
                <w:rFonts w:ascii="Times New Roman" w:hAnsi="Times New Roman" w:cs="Times New Roman"/>
              </w:rPr>
            </w:pPr>
          </w:p>
        </w:tc>
        <w:tc>
          <w:tcPr>
            <w:tcW w:w="1440" w:type="dxa"/>
          </w:tcPr>
          <w:p w:rsidR="007D2157" w:rsidRPr="00DB2937" w:rsidRDefault="007D2157" w:rsidP="00203D19">
            <w:pPr>
              <w:pStyle w:val="TableParagraph"/>
              <w:rPr>
                <w:rFonts w:ascii="Times New Roman" w:hAnsi="Times New Roman" w:cs="Times New Roman"/>
              </w:rPr>
            </w:pPr>
          </w:p>
        </w:tc>
      </w:tr>
      <w:tr w:rsidR="007D2157" w:rsidRPr="00DB2937" w:rsidTr="00DB2937">
        <w:trPr>
          <w:trHeight w:val="287"/>
        </w:trPr>
        <w:tc>
          <w:tcPr>
            <w:tcW w:w="5146" w:type="dxa"/>
          </w:tcPr>
          <w:p w:rsidR="007D2157" w:rsidRPr="00DB2937" w:rsidRDefault="007D2157" w:rsidP="00203D19">
            <w:pPr>
              <w:pStyle w:val="TableParagraph"/>
              <w:spacing w:before="40"/>
              <w:ind w:left="118"/>
              <w:rPr>
                <w:rFonts w:ascii="Times New Roman" w:hAnsi="Times New Roman" w:cs="Times New Roman"/>
              </w:rPr>
            </w:pPr>
            <w:r w:rsidRPr="00DB2937">
              <w:rPr>
                <w:rFonts w:ascii="Times New Roman" w:hAnsi="Times New Roman" w:cs="Times New Roman"/>
                <w:w w:val="80"/>
              </w:rPr>
              <w:t>KP</w:t>
            </w:r>
            <w:r w:rsidRPr="00DB2937">
              <w:rPr>
                <w:rFonts w:ascii="Times New Roman" w:hAnsi="Times New Roman" w:cs="Times New Roman"/>
                <w:spacing w:val="-7"/>
              </w:rPr>
              <w:t xml:space="preserve"> </w:t>
            </w:r>
            <w:r w:rsidRPr="00DB2937">
              <w:rPr>
                <w:rFonts w:ascii="Times New Roman" w:hAnsi="Times New Roman" w:cs="Times New Roman"/>
                <w:w w:val="80"/>
              </w:rPr>
              <w:t>3300</w:t>
            </w:r>
            <w:r w:rsidRPr="00DB2937">
              <w:rPr>
                <w:rFonts w:ascii="Times New Roman" w:hAnsi="Times New Roman" w:cs="Times New Roman"/>
                <w:spacing w:val="-6"/>
              </w:rPr>
              <w:t xml:space="preserve"> </w:t>
            </w:r>
            <w:r w:rsidRPr="00DB2937">
              <w:rPr>
                <w:rFonts w:ascii="Times New Roman" w:hAnsi="Times New Roman" w:cs="Times New Roman"/>
                <w:w w:val="80"/>
              </w:rPr>
              <w:t>KO</w:t>
            </w:r>
            <w:r w:rsidRPr="00DB2937">
              <w:rPr>
                <w:rFonts w:ascii="Times New Roman" w:hAnsi="Times New Roman" w:cs="Times New Roman"/>
                <w:spacing w:val="-6"/>
              </w:rPr>
              <w:t xml:space="preserve"> </w:t>
            </w:r>
            <w:r w:rsidRPr="00DB2937">
              <w:rPr>
                <w:rFonts w:ascii="Times New Roman" w:hAnsi="Times New Roman" w:cs="Times New Roman"/>
                <w:spacing w:val="-2"/>
                <w:w w:val="80"/>
              </w:rPr>
              <w:t>Pojate</w:t>
            </w:r>
          </w:p>
        </w:tc>
        <w:tc>
          <w:tcPr>
            <w:tcW w:w="1350" w:type="dxa"/>
          </w:tcPr>
          <w:p w:rsidR="007D2157" w:rsidRPr="00DB2937" w:rsidRDefault="007D2157" w:rsidP="00203D19">
            <w:pPr>
              <w:pStyle w:val="TableParagraph"/>
              <w:spacing w:before="40"/>
              <w:ind w:right="89"/>
              <w:jc w:val="right"/>
              <w:rPr>
                <w:rFonts w:ascii="Times New Roman" w:hAnsi="Times New Roman" w:cs="Times New Roman"/>
              </w:rPr>
            </w:pPr>
            <w:r w:rsidRPr="00DB2937">
              <w:rPr>
                <w:rFonts w:ascii="Times New Roman" w:hAnsi="Times New Roman" w:cs="Times New Roman"/>
                <w:spacing w:val="-4"/>
                <w:w w:val="90"/>
              </w:rPr>
              <w:t>1531</w:t>
            </w:r>
          </w:p>
        </w:tc>
        <w:tc>
          <w:tcPr>
            <w:tcW w:w="1260" w:type="dxa"/>
          </w:tcPr>
          <w:p w:rsidR="007D2157" w:rsidRPr="00D62649" w:rsidRDefault="00D62649" w:rsidP="00D62649">
            <w:pPr>
              <w:pStyle w:val="TableParagraph"/>
              <w:spacing w:before="40"/>
              <w:rPr>
                <w:rFonts w:ascii="Times New Roman" w:hAnsi="Times New Roman" w:cs="Times New Roman"/>
                <w:lang w:val="sr-Cyrl-RS"/>
              </w:rPr>
            </w:pPr>
            <w:r>
              <w:rPr>
                <w:rFonts w:ascii="Times New Roman" w:hAnsi="Times New Roman" w:cs="Times New Roman"/>
                <w:spacing w:val="-2"/>
                <w:w w:val="90"/>
                <w:lang w:val="sr-Cyrl-RS"/>
              </w:rPr>
              <w:t xml:space="preserve">   179.335,00</w:t>
            </w:r>
          </w:p>
        </w:tc>
        <w:tc>
          <w:tcPr>
            <w:tcW w:w="1440" w:type="dxa"/>
          </w:tcPr>
          <w:p w:rsidR="007D2157" w:rsidRPr="00D62649" w:rsidRDefault="00D62649" w:rsidP="00D62649">
            <w:pPr>
              <w:pStyle w:val="TableParagraph"/>
              <w:spacing w:before="40"/>
              <w:ind w:right="88"/>
              <w:jc w:val="center"/>
              <w:rPr>
                <w:rFonts w:ascii="Times New Roman" w:hAnsi="Times New Roman" w:cs="Times New Roman"/>
                <w:lang w:val="sr-Cyrl-RS"/>
              </w:rPr>
            </w:pPr>
            <w:r>
              <w:rPr>
                <w:rFonts w:ascii="Times New Roman" w:hAnsi="Times New Roman" w:cs="Times New Roman"/>
                <w:spacing w:val="-2"/>
                <w:w w:val="90"/>
                <w:lang w:val="sr-Cyrl-RS"/>
              </w:rPr>
              <w:t xml:space="preserve"> 71.734,00</w:t>
            </w:r>
          </w:p>
        </w:tc>
      </w:tr>
      <w:tr w:rsidR="007D2157" w:rsidRPr="00DB2937" w:rsidTr="00DB2937">
        <w:trPr>
          <w:trHeight w:val="288"/>
        </w:trPr>
        <w:tc>
          <w:tcPr>
            <w:tcW w:w="6496" w:type="dxa"/>
            <w:gridSpan w:val="2"/>
            <w:tcBorders>
              <w:left w:val="nil"/>
              <w:bottom w:val="nil"/>
            </w:tcBorders>
          </w:tcPr>
          <w:p w:rsidR="007D2157" w:rsidRPr="00DB2937" w:rsidRDefault="007D2157" w:rsidP="00203D19">
            <w:pPr>
              <w:pStyle w:val="TableParagraph"/>
              <w:rPr>
                <w:rFonts w:ascii="Times New Roman" w:hAnsi="Times New Roman" w:cs="Times New Roman"/>
              </w:rPr>
            </w:pPr>
          </w:p>
        </w:tc>
        <w:tc>
          <w:tcPr>
            <w:tcW w:w="1260" w:type="dxa"/>
          </w:tcPr>
          <w:p w:rsidR="007D2157" w:rsidRPr="00D62649" w:rsidRDefault="00D62649" w:rsidP="00D62649">
            <w:pPr>
              <w:pStyle w:val="TableParagraph"/>
              <w:spacing w:before="37"/>
              <w:rPr>
                <w:rFonts w:ascii="Times New Roman" w:hAnsi="Times New Roman" w:cs="Times New Roman"/>
                <w:b/>
                <w:lang w:val="sr-Cyrl-RS"/>
              </w:rPr>
            </w:pPr>
            <w:r>
              <w:rPr>
                <w:rFonts w:ascii="Times New Roman" w:hAnsi="Times New Roman" w:cs="Times New Roman"/>
                <w:b/>
                <w:spacing w:val="-2"/>
                <w:w w:val="90"/>
                <w:lang w:val="sr-Cyrl-RS"/>
              </w:rPr>
              <w:t xml:space="preserve">   3.578.485,00</w:t>
            </w:r>
          </w:p>
        </w:tc>
        <w:tc>
          <w:tcPr>
            <w:tcW w:w="1440" w:type="dxa"/>
          </w:tcPr>
          <w:p w:rsidR="007D2157" w:rsidRPr="00D62649" w:rsidRDefault="00D62649" w:rsidP="00203D19">
            <w:pPr>
              <w:pStyle w:val="TableParagraph"/>
              <w:spacing w:before="37"/>
              <w:ind w:right="88"/>
              <w:jc w:val="right"/>
              <w:rPr>
                <w:rFonts w:ascii="Times New Roman" w:hAnsi="Times New Roman" w:cs="Times New Roman"/>
                <w:b/>
                <w:lang w:val="sr-Cyrl-RS"/>
              </w:rPr>
            </w:pPr>
            <w:r>
              <w:rPr>
                <w:rFonts w:ascii="Times New Roman" w:hAnsi="Times New Roman" w:cs="Times New Roman"/>
                <w:b/>
                <w:spacing w:val="-2"/>
                <w:w w:val="90"/>
                <w:lang w:val="sr-Cyrl-RS"/>
              </w:rPr>
              <w:t>1.431.394,00</w:t>
            </w:r>
          </w:p>
        </w:tc>
      </w:tr>
    </w:tbl>
    <w:p w:rsidR="007D2157" w:rsidRPr="00DB2937" w:rsidRDefault="007D2157" w:rsidP="00F515CF">
      <w:pPr>
        <w:spacing w:line="276" w:lineRule="auto"/>
        <w:jc w:val="both"/>
        <w:rPr>
          <w:lang w:val="sr-Cyrl-CS" w:eastAsia="sr-Latn-CS"/>
        </w:rPr>
      </w:pPr>
    </w:p>
    <w:p w:rsidR="007D2157" w:rsidRPr="00DB2937" w:rsidRDefault="007D2157" w:rsidP="00F515CF">
      <w:pPr>
        <w:spacing w:line="276" w:lineRule="auto"/>
        <w:jc w:val="both"/>
        <w:rPr>
          <w:lang w:val="sr-Cyrl-CS" w:eastAsia="sr-Latn-CS"/>
        </w:rPr>
      </w:pPr>
      <w:r w:rsidRPr="00DB2937">
        <w:rPr>
          <w:lang w:val="sr-Cyrl-CS" w:eastAsia="sr-Latn-CS"/>
        </w:rPr>
        <w:t>Целина 3</w:t>
      </w:r>
    </w:p>
    <w:tbl>
      <w:tblPr>
        <w:tblW w:w="9146"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6"/>
        <w:gridCol w:w="1350"/>
        <w:gridCol w:w="1230"/>
        <w:gridCol w:w="1420"/>
      </w:tblGrid>
      <w:tr w:rsidR="007D2157" w:rsidRPr="00DB2937" w:rsidTr="00DB2937">
        <w:trPr>
          <w:trHeight w:val="287"/>
        </w:trPr>
        <w:tc>
          <w:tcPr>
            <w:tcW w:w="5146" w:type="dxa"/>
            <w:shd w:val="clear" w:color="auto" w:fill="C4D79B"/>
          </w:tcPr>
          <w:p w:rsidR="007D2157" w:rsidRPr="00DB2937" w:rsidRDefault="007D2157" w:rsidP="00DB2937">
            <w:pPr>
              <w:pStyle w:val="TableParagraph"/>
              <w:jc w:val="center"/>
              <w:rPr>
                <w:rFonts w:ascii="Times New Roman" w:hAnsi="Times New Roman" w:cs="Times New Roman"/>
                <w:b/>
              </w:rPr>
            </w:pPr>
            <w:r w:rsidRPr="00DB2937">
              <w:rPr>
                <w:rFonts w:ascii="Times New Roman" w:hAnsi="Times New Roman" w:cs="Times New Roman"/>
                <w:b/>
                <w:w w:val="80"/>
                <w:lang w:val="sr-Cyrl-RS"/>
              </w:rPr>
              <w:t>Предмет</w:t>
            </w:r>
            <w:r w:rsidRPr="00DB2937">
              <w:rPr>
                <w:rFonts w:ascii="Times New Roman" w:hAnsi="Times New Roman" w:cs="Times New Roman"/>
                <w:b/>
                <w:spacing w:val="-4"/>
                <w:w w:val="90"/>
              </w:rPr>
              <w:t xml:space="preserve"> </w:t>
            </w:r>
            <w:r w:rsidRPr="00DB2937">
              <w:rPr>
                <w:rFonts w:ascii="Times New Roman" w:hAnsi="Times New Roman" w:cs="Times New Roman"/>
                <w:b/>
                <w:spacing w:val="-2"/>
                <w:w w:val="90"/>
              </w:rPr>
              <w:t>продаје</w:t>
            </w:r>
          </w:p>
        </w:tc>
        <w:tc>
          <w:tcPr>
            <w:tcW w:w="1350" w:type="dxa"/>
            <w:shd w:val="clear" w:color="auto" w:fill="C4D79B"/>
          </w:tcPr>
          <w:p w:rsidR="007D2157" w:rsidRPr="00DB2937" w:rsidRDefault="007D2157" w:rsidP="00DB2937">
            <w:pPr>
              <w:pStyle w:val="TableParagraph"/>
              <w:spacing w:before="37"/>
              <w:ind w:left="333"/>
              <w:jc w:val="center"/>
              <w:rPr>
                <w:rFonts w:ascii="Times New Roman" w:hAnsi="Times New Roman" w:cs="Times New Roman"/>
                <w:b/>
                <w:spacing w:val="-4"/>
                <w:w w:val="90"/>
              </w:rPr>
            </w:pPr>
            <w:r w:rsidRPr="00DB2937">
              <w:rPr>
                <w:rFonts w:ascii="Times New Roman" w:hAnsi="Times New Roman" w:cs="Times New Roman"/>
                <w:b/>
                <w:spacing w:val="-2"/>
                <w:w w:val="90"/>
                <w:lang w:val="sr-Cyrl-RS"/>
              </w:rPr>
              <w:t>Површина</w:t>
            </w:r>
          </w:p>
        </w:tc>
        <w:tc>
          <w:tcPr>
            <w:tcW w:w="1230" w:type="dxa"/>
            <w:shd w:val="clear" w:color="auto" w:fill="C4D79B"/>
          </w:tcPr>
          <w:p w:rsidR="007D2157" w:rsidRPr="00DB2937" w:rsidRDefault="007D2157" w:rsidP="00DB2937">
            <w:pPr>
              <w:pStyle w:val="TableParagraph"/>
              <w:spacing w:before="37"/>
              <w:ind w:left="344"/>
              <w:jc w:val="center"/>
              <w:rPr>
                <w:rFonts w:ascii="Times New Roman" w:hAnsi="Times New Roman" w:cs="Times New Roman"/>
                <w:b/>
                <w:spacing w:val="-4"/>
                <w:w w:val="90"/>
                <w:lang w:val="sr-Cyrl-RS"/>
              </w:rPr>
            </w:pPr>
            <w:r w:rsidRPr="00DB2937">
              <w:rPr>
                <w:rFonts w:ascii="Times New Roman" w:hAnsi="Times New Roman" w:cs="Times New Roman"/>
                <w:b/>
                <w:spacing w:val="-4"/>
                <w:w w:val="90"/>
                <w:lang w:val="sr-Cyrl-RS"/>
              </w:rPr>
              <w:t>Почетна цена</w:t>
            </w:r>
          </w:p>
        </w:tc>
        <w:tc>
          <w:tcPr>
            <w:tcW w:w="1420" w:type="dxa"/>
            <w:shd w:val="clear" w:color="auto" w:fill="C4D79B"/>
          </w:tcPr>
          <w:p w:rsidR="007D2157" w:rsidRPr="00DB2937" w:rsidRDefault="007D2157" w:rsidP="00DB2937">
            <w:pPr>
              <w:pStyle w:val="TableParagraph"/>
              <w:spacing w:before="37"/>
              <w:ind w:left="30"/>
              <w:jc w:val="center"/>
              <w:rPr>
                <w:rFonts w:ascii="Times New Roman" w:hAnsi="Times New Roman" w:cs="Times New Roman"/>
                <w:b/>
                <w:spacing w:val="-4"/>
                <w:w w:val="90"/>
                <w:lang w:val="sr-Cyrl-RS"/>
              </w:rPr>
            </w:pPr>
            <w:r w:rsidRPr="00DB2937">
              <w:rPr>
                <w:rFonts w:ascii="Times New Roman" w:hAnsi="Times New Roman" w:cs="Times New Roman"/>
                <w:b/>
                <w:spacing w:val="-4"/>
                <w:w w:val="90"/>
                <w:lang w:val="sr-Cyrl-RS"/>
              </w:rPr>
              <w:t>Депозит</w:t>
            </w:r>
          </w:p>
        </w:tc>
      </w:tr>
      <w:tr w:rsidR="007D2157" w:rsidRPr="00DB2937" w:rsidTr="00DB2937">
        <w:trPr>
          <w:trHeight w:val="287"/>
        </w:trPr>
        <w:tc>
          <w:tcPr>
            <w:tcW w:w="5146" w:type="dxa"/>
            <w:shd w:val="clear" w:color="auto" w:fill="C4D79B"/>
          </w:tcPr>
          <w:p w:rsidR="007D2157" w:rsidRPr="00DB2937" w:rsidRDefault="007D2157" w:rsidP="00203D19">
            <w:pPr>
              <w:pStyle w:val="TableParagraph"/>
              <w:rPr>
                <w:rFonts w:ascii="Times New Roman" w:hAnsi="Times New Roman" w:cs="Times New Roman"/>
              </w:rPr>
            </w:pPr>
          </w:p>
        </w:tc>
        <w:tc>
          <w:tcPr>
            <w:tcW w:w="1350" w:type="dxa"/>
            <w:shd w:val="clear" w:color="auto" w:fill="C4D79B"/>
          </w:tcPr>
          <w:p w:rsidR="007D2157" w:rsidRPr="00DB2937" w:rsidRDefault="007D2157" w:rsidP="00203D19">
            <w:pPr>
              <w:pStyle w:val="TableParagraph"/>
              <w:spacing w:before="37"/>
              <w:ind w:left="333"/>
              <w:rPr>
                <w:rFonts w:ascii="Times New Roman" w:hAnsi="Times New Roman" w:cs="Times New Roman"/>
                <w:b/>
              </w:rPr>
            </w:pPr>
            <w:r w:rsidRPr="00DB2937">
              <w:rPr>
                <w:rFonts w:ascii="Times New Roman" w:hAnsi="Times New Roman" w:cs="Times New Roman"/>
                <w:b/>
                <w:spacing w:val="-4"/>
                <w:w w:val="90"/>
              </w:rPr>
              <w:t>(m2)</w:t>
            </w:r>
          </w:p>
        </w:tc>
        <w:tc>
          <w:tcPr>
            <w:tcW w:w="1230" w:type="dxa"/>
            <w:shd w:val="clear" w:color="auto" w:fill="C4D79B"/>
          </w:tcPr>
          <w:p w:rsidR="007D2157" w:rsidRPr="00DB2937" w:rsidRDefault="00D62649" w:rsidP="00D62649">
            <w:pPr>
              <w:pStyle w:val="TableParagraph"/>
              <w:spacing w:before="37"/>
              <w:ind w:left="344"/>
              <w:rPr>
                <w:rFonts w:ascii="Times New Roman" w:hAnsi="Times New Roman" w:cs="Times New Roman"/>
                <w:b/>
              </w:rPr>
            </w:pPr>
            <w:r>
              <w:rPr>
                <w:rFonts w:ascii="Times New Roman" w:hAnsi="Times New Roman" w:cs="Times New Roman"/>
                <w:b/>
                <w:spacing w:val="-4"/>
                <w:w w:val="90"/>
              </w:rPr>
              <w:t>(</w:t>
            </w:r>
            <w:r>
              <w:rPr>
                <w:rFonts w:ascii="Times New Roman" w:hAnsi="Times New Roman" w:cs="Times New Roman"/>
                <w:b/>
                <w:spacing w:val="-4"/>
                <w:w w:val="90"/>
                <w:lang w:val="sr-Cyrl-RS"/>
              </w:rPr>
              <w:t>РСД</w:t>
            </w:r>
            <w:r w:rsidR="007D2157" w:rsidRPr="00DB2937">
              <w:rPr>
                <w:rFonts w:ascii="Times New Roman" w:hAnsi="Times New Roman" w:cs="Times New Roman"/>
                <w:b/>
                <w:spacing w:val="-4"/>
                <w:w w:val="90"/>
              </w:rPr>
              <w:t>)</w:t>
            </w:r>
          </w:p>
        </w:tc>
        <w:tc>
          <w:tcPr>
            <w:tcW w:w="1420" w:type="dxa"/>
            <w:shd w:val="clear" w:color="auto" w:fill="C4D79B"/>
          </w:tcPr>
          <w:p w:rsidR="007D2157" w:rsidRPr="00DB2937" w:rsidRDefault="007D2157" w:rsidP="00D62649">
            <w:pPr>
              <w:pStyle w:val="TableParagraph"/>
              <w:spacing w:before="37"/>
              <w:ind w:left="30"/>
              <w:jc w:val="center"/>
              <w:rPr>
                <w:rFonts w:ascii="Times New Roman" w:hAnsi="Times New Roman" w:cs="Times New Roman"/>
                <w:b/>
              </w:rPr>
            </w:pPr>
            <w:r w:rsidRPr="00DB2937">
              <w:rPr>
                <w:rFonts w:ascii="Times New Roman" w:hAnsi="Times New Roman" w:cs="Times New Roman"/>
                <w:b/>
                <w:spacing w:val="-4"/>
                <w:w w:val="90"/>
              </w:rPr>
              <w:t>(</w:t>
            </w:r>
            <w:r w:rsidR="00D62649">
              <w:rPr>
                <w:rFonts w:ascii="Times New Roman" w:hAnsi="Times New Roman" w:cs="Times New Roman"/>
                <w:b/>
                <w:spacing w:val="-4"/>
                <w:w w:val="90"/>
                <w:lang w:val="sr-Cyrl-RS"/>
              </w:rPr>
              <w:t>РСД</w:t>
            </w:r>
            <w:r w:rsidRPr="00DB2937">
              <w:rPr>
                <w:rFonts w:ascii="Times New Roman" w:hAnsi="Times New Roman" w:cs="Times New Roman"/>
                <w:b/>
                <w:spacing w:val="-4"/>
                <w:w w:val="90"/>
              </w:rPr>
              <w:t>)</w:t>
            </w:r>
          </w:p>
        </w:tc>
      </w:tr>
      <w:tr w:rsidR="007D2157" w:rsidRPr="00DB2937" w:rsidTr="00DB2937">
        <w:trPr>
          <w:trHeight w:val="287"/>
        </w:trPr>
        <w:tc>
          <w:tcPr>
            <w:tcW w:w="5146" w:type="dxa"/>
            <w:tcBorders>
              <w:left w:val="single" w:sz="8" w:space="0" w:color="838A90"/>
              <w:right w:val="single" w:sz="8" w:space="0" w:color="838A90"/>
            </w:tcBorders>
          </w:tcPr>
          <w:p w:rsidR="007D2157" w:rsidRPr="00DB2937" w:rsidRDefault="007D2157" w:rsidP="00203D19">
            <w:pPr>
              <w:pStyle w:val="TableParagraph"/>
              <w:spacing w:before="37"/>
              <w:ind w:left="113"/>
              <w:rPr>
                <w:rFonts w:ascii="Times New Roman" w:hAnsi="Times New Roman" w:cs="Times New Roman"/>
                <w:b/>
                <w:lang w:val="sr-Cyrl-RS"/>
              </w:rPr>
            </w:pPr>
            <w:r w:rsidRPr="00DB2937">
              <w:rPr>
                <w:rFonts w:ascii="Times New Roman" w:hAnsi="Times New Roman" w:cs="Times New Roman"/>
                <w:b/>
                <w:spacing w:val="-2"/>
                <w:w w:val="90"/>
                <w:lang w:val="sr-Cyrl-RS"/>
              </w:rPr>
              <w:t>Објекат</w:t>
            </w:r>
          </w:p>
        </w:tc>
        <w:tc>
          <w:tcPr>
            <w:tcW w:w="1350" w:type="dxa"/>
            <w:tcBorders>
              <w:left w:val="single" w:sz="8" w:space="0" w:color="838A90"/>
              <w:right w:val="single" w:sz="8" w:space="0" w:color="838A90"/>
            </w:tcBorders>
          </w:tcPr>
          <w:p w:rsidR="007D2157" w:rsidRPr="00DB2937" w:rsidRDefault="007D2157" w:rsidP="00203D19">
            <w:pPr>
              <w:pStyle w:val="TableParagraph"/>
              <w:rPr>
                <w:rFonts w:ascii="Times New Roman" w:hAnsi="Times New Roman" w:cs="Times New Roman"/>
              </w:rPr>
            </w:pPr>
          </w:p>
        </w:tc>
        <w:tc>
          <w:tcPr>
            <w:tcW w:w="1230" w:type="dxa"/>
            <w:tcBorders>
              <w:left w:val="single" w:sz="8" w:space="0" w:color="838A90"/>
              <w:right w:val="single" w:sz="8" w:space="0" w:color="838A90"/>
            </w:tcBorders>
          </w:tcPr>
          <w:p w:rsidR="007D2157" w:rsidRPr="00DB2937" w:rsidRDefault="007D2157" w:rsidP="00203D19">
            <w:pPr>
              <w:pStyle w:val="TableParagraph"/>
              <w:rPr>
                <w:rFonts w:ascii="Times New Roman" w:hAnsi="Times New Roman" w:cs="Times New Roman"/>
              </w:rPr>
            </w:pPr>
          </w:p>
        </w:tc>
        <w:tc>
          <w:tcPr>
            <w:tcW w:w="1420" w:type="dxa"/>
            <w:tcBorders>
              <w:left w:val="single" w:sz="8" w:space="0" w:color="838A90"/>
              <w:right w:val="single" w:sz="12" w:space="0" w:color="838A90"/>
            </w:tcBorders>
          </w:tcPr>
          <w:p w:rsidR="007D2157" w:rsidRPr="00DB2937" w:rsidRDefault="007D2157" w:rsidP="00203D19">
            <w:pPr>
              <w:pStyle w:val="TableParagraph"/>
              <w:rPr>
                <w:rFonts w:ascii="Times New Roman" w:hAnsi="Times New Roman" w:cs="Times New Roman"/>
              </w:rPr>
            </w:pPr>
          </w:p>
        </w:tc>
      </w:tr>
      <w:tr w:rsidR="007D2157" w:rsidRPr="00DB2937" w:rsidTr="00DB2937">
        <w:trPr>
          <w:trHeight w:val="528"/>
        </w:trPr>
        <w:tc>
          <w:tcPr>
            <w:tcW w:w="5146" w:type="dxa"/>
          </w:tcPr>
          <w:p w:rsidR="007D2157" w:rsidRPr="00DB2937" w:rsidRDefault="007D2157" w:rsidP="00203D19">
            <w:pPr>
              <w:pStyle w:val="TableParagraph"/>
              <w:spacing w:before="57" w:line="244" w:lineRule="auto"/>
              <w:ind w:left="118" w:right="70"/>
              <w:rPr>
                <w:rFonts w:ascii="Times New Roman" w:hAnsi="Times New Roman" w:cs="Times New Roman"/>
              </w:rPr>
            </w:pPr>
            <w:r w:rsidRPr="00DB2937">
              <w:rPr>
                <w:rFonts w:ascii="Times New Roman" w:hAnsi="Times New Roman" w:cs="Times New Roman"/>
                <w:w w:val="80"/>
              </w:rPr>
              <w:t>Пословни простор угоститељства-ресторан са кугланом у подруму на КП 1811 КО Пригревица, Вука Караџића</w:t>
            </w:r>
          </w:p>
        </w:tc>
        <w:tc>
          <w:tcPr>
            <w:tcW w:w="1350" w:type="dxa"/>
          </w:tcPr>
          <w:p w:rsidR="007D2157" w:rsidRPr="00DB2937" w:rsidRDefault="007D2157" w:rsidP="00203D19">
            <w:pPr>
              <w:pStyle w:val="TableParagraph"/>
              <w:spacing w:before="161"/>
              <w:ind w:right="87"/>
              <w:jc w:val="right"/>
              <w:rPr>
                <w:rFonts w:ascii="Times New Roman" w:hAnsi="Times New Roman" w:cs="Times New Roman"/>
              </w:rPr>
            </w:pPr>
            <w:r w:rsidRPr="00DB2937">
              <w:rPr>
                <w:rFonts w:ascii="Times New Roman" w:hAnsi="Times New Roman" w:cs="Times New Roman"/>
                <w:spacing w:val="-5"/>
                <w:w w:val="90"/>
              </w:rPr>
              <w:t>785</w:t>
            </w:r>
          </w:p>
        </w:tc>
        <w:tc>
          <w:tcPr>
            <w:tcW w:w="1230" w:type="dxa"/>
          </w:tcPr>
          <w:p w:rsidR="007D2157" w:rsidRPr="00D62649" w:rsidRDefault="00D62649" w:rsidP="00203D19">
            <w:pPr>
              <w:pStyle w:val="TableParagraph"/>
              <w:spacing w:before="161"/>
              <w:ind w:right="87"/>
              <w:jc w:val="right"/>
              <w:rPr>
                <w:rFonts w:ascii="Times New Roman" w:hAnsi="Times New Roman" w:cs="Times New Roman"/>
                <w:lang w:val="sr-Cyrl-RS"/>
              </w:rPr>
            </w:pPr>
            <w:r>
              <w:rPr>
                <w:rFonts w:ascii="Times New Roman" w:hAnsi="Times New Roman" w:cs="Times New Roman"/>
                <w:spacing w:val="-2"/>
                <w:w w:val="90"/>
                <w:lang w:val="sr-Cyrl-RS"/>
              </w:rPr>
              <w:t>7.830.500,00</w:t>
            </w:r>
          </w:p>
        </w:tc>
        <w:tc>
          <w:tcPr>
            <w:tcW w:w="1420" w:type="dxa"/>
          </w:tcPr>
          <w:p w:rsidR="007D2157" w:rsidRPr="00B77FF3" w:rsidRDefault="00B77FF3" w:rsidP="00203D19">
            <w:pPr>
              <w:pStyle w:val="TableParagraph"/>
              <w:spacing w:before="161"/>
              <w:ind w:right="88"/>
              <w:jc w:val="right"/>
              <w:rPr>
                <w:rFonts w:ascii="Times New Roman" w:hAnsi="Times New Roman" w:cs="Times New Roman"/>
                <w:lang w:val="sr-Cyrl-RS"/>
              </w:rPr>
            </w:pPr>
            <w:r>
              <w:rPr>
                <w:rFonts w:ascii="Times New Roman" w:hAnsi="Times New Roman" w:cs="Times New Roman"/>
                <w:spacing w:val="-2"/>
                <w:w w:val="90"/>
                <w:lang w:val="sr-Cyrl-RS"/>
              </w:rPr>
              <w:t>3.132.200,00</w:t>
            </w:r>
          </w:p>
        </w:tc>
      </w:tr>
      <w:tr w:rsidR="007D2157" w:rsidRPr="00DB2937" w:rsidTr="00DB2937">
        <w:trPr>
          <w:trHeight w:val="287"/>
        </w:trPr>
        <w:tc>
          <w:tcPr>
            <w:tcW w:w="5146" w:type="dxa"/>
          </w:tcPr>
          <w:p w:rsidR="007D2157" w:rsidRPr="00DB2937" w:rsidRDefault="007D2157" w:rsidP="00203D19">
            <w:pPr>
              <w:pStyle w:val="TableParagraph"/>
              <w:spacing w:before="28"/>
              <w:ind w:left="118"/>
              <w:rPr>
                <w:rFonts w:ascii="Times New Roman" w:hAnsi="Times New Roman" w:cs="Times New Roman"/>
                <w:b/>
                <w:i/>
                <w:lang w:val="sr-Cyrl-RS"/>
              </w:rPr>
            </w:pPr>
            <w:r w:rsidRPr="00DB2937">
              <w:rPr>
                <w:rFonts w:ascii="Times New Roman" w:hAnsi="Times New Roman" w:cs="Times New Roman"/>
                <w:b/>
                <w:i/>
                <w:spacing w:val="-2"/>
                <w:w w:val="90"/>
                <w:lang w:val="sr-Cyrl-RS"/>
              </w:rPr>
              <w:t>Земљиште</w:t>
            </w:r>
          </w:p>
        </w:tc>
        <w:tc>
          <w:tcPr>
            <w:tcW w:w="1350" w:type="dxa"/>
          </w:tcPr>
          <w:p w:rsidR="007D2157" w:rsidRPr="00DB2937" w:rsidRDefault="007D2157" w:rsidP="00203D19">
            <w:pPr>
              <w:pStyle w:val="TableParagraph"/>
              <w:rPr>
                <w:rFonts w:ascii="Times New Roman" w:hAnsi="Times New Roman" w:cs="Times New Roman"/>
              </w:rPr>
            </w:pPr>
          </w:p>
        </w:tc>
        <w:tc>
          <w:tcPr>
            <w:tcW w:w="1230" w:type="dxa"/>
          </w:tcPr>
          <w:p w:rsidR="007D2157" w:rsidRPr="00DB2937" w:rsidRDefault="007D2157" w:rsidP="00203D19">
            <w:pPr>
              <w:pStyle w:val="TableParagraph"/>
              <w:rPr>
                <w:rFonts w:ascii="Times New Roman" w:hAnsi="Times New Roman" w:cs="Times New Roman"/>
              </w:rPr>
            </w:pPr>
          </w:p>
        </w:tc>
        <w:tc>
          <w:tcPr>
            <w:tcW w:w="1420" w:type="dxa"/>
          </w:tcPr>
          <w:p w:rsidR="007D2157" w:rsidRPr="00DB2937" w:rsidRDefault="007D2157" w:rsidP="00203D19">
            <w:pPr>
              <w:pStyle w:val="TableParagraph"/>
              <w:rPr>
                <w:rFonts w:ascii="Times New Roman" w:hAnsi="Times New Roman" w:cs="Times New Roman"/>
              </w:rPr>
            </w:pPr>
          </w:p>
        </w:tc>
      </w:tr>
      <w:tr w:rsidR="007D2157" w:rsidRPr="00DB2937" w:rsidTr="00DB2937">
        <w:trPr>
          <w:trHeight w:val="287"/>
        </w:trPr>
        <w:tc>
          <w:tcPr>
            <w:tcW w:w="5146" w:type="dxa"/>
          </w:tcPr>
          <w:p w:rsidR="007D2157" w:rsidRPr="00DB2937" w:rsidRDefault="007D2157" w:rsidP="007D2157">
            <w:pPr>
              <w:pStyle w:val="TableParagraph"/>
              <w:spacing w:before="40"/>
              <w:ind w:left="118"/>
              <w:rPr>
                <w:rFonts w:ascii="Times New Roman" w:hAnsi="Times New Roman" w:cs="Times New Roman"/>
                <w:lang w:val="sr-Cyrl-RS"/>
              </w:rPr>
            </w:pPr>
            <w:r w:rsidRPr="00DB2937">
              <w:rPr>
                <w:rFonts w:ascii="Times New Roman" w:hAnsi="Times New Roman" w:cs="Times New Roman"/>
                <w:w w:val="80"/>
              </w:rPr>
              <w:t>K</w:t>
            </w:r>
            <w:r w:rsidRPr="00DB2937">
              <w:rPr>
                <w:rFonts w:ascii="Times New Roman" w:hAnsi="Times New Roman" w:cs="Times New Roman"/>
                <w:w w:val="80"/>
                <w:lang w:val="sr-Cyrl-RS"/>
              </w:rPr>
              <w:t>П</w:t>
            </w:r>
            <w:r w:rsidRPr="00DB2937">
              <w:rPr>
                <w:rFonts w:ascii="Times New Roman" w:hAnsi="Times New Roman" w:cs="Times New Roman"/>
                <w:spacing w:val="-7"/>
              </w:rPr>
              <w:t xml:space="preserve"> </w:t>
            </w:r>
            <w:r w:rsidRPr="00DB2937">
              <w:rPr>
                <w:rFonts w:ascii="Times New Roman" w:hAnsi="Times New Roman" w:cs="Times New Roman"/>
                <w:w w:val="80"/>
              </w:rPr>
              <w:t>1811</w:t>
            </w:r>
            <w:r w:rsidRPr="00DB2937">
              <w:rPr>
                <w:rFonts w:ascii="Times New Roman" w:hAnsi="Times New Roman" w:cs="Times New Roman"/>
                <w:spacing w:val="-6"/>
              </w:rPr>
              <w:t xml:space="preserve"> </w:t>
            </w:r>
            <w:r w:rsidRPr="00DB2937">
              <w:rPr>
                <w:rFonts w:ascii="Times New Roman" w:hAnsi="Times New Roman" w:cs="Times New Roman"/>
                <w:w w:val="80"/>
              </w:rPr>
              <w:t>KO</w:t>
            </w:r>
            <w:r w:rsidRPr="00DB2937">
              <w:rPr>
                <w:rFonts w:ascii="Times New Roman" w:hAnsi="Times New Roman" w:cs="Times New Roman"/>
                <w:spacing w:val="-6"/>
              </w:rPr>
              <w:t xml:space="preserve"> </w:t>
            </w:r>
            <w:r w:rsidRPr="00DB2937">
              <w:rPr>
                <w:rFonts w:ascii="Times New Roman" w:hAnsi="Times New Roman" w:cs="Times New Roman"/>
                <w:spacing w:val="-2"/>
                <w:w w:val="80"/>
                <w:lang w:val="sr-Cyrl-RS"/>
              </w:rPr>
              <w:t>Пригревица</w:t>
            </w:r>
          </w:p>
        </w:tc>
        <w:tc>
          <w:tcPr>
            <w:tcW w:w="1350" w:type="dxa"/>
          </w:tcPr>
          <w:p w:rsidR="007D2157" w:rsidRPr="00DB2937" w:rsidRDefault="007D2157" w:rsidP="00203D19">
            <w:pPr>
              <w:pStyle w:val="TableParagraph"/>
              <w:spacing w:before="40"/>
              <w:ind w:right="89"/>
              <w:jc w:val="right"/>
              <w:rPr>
                <w:rFonts w:ascii="Times New Roman" w:hAnsi="Times New Roman" w:cs="Times New Roman"/>
              </w:rPr>
            </w:pPr>
            <w:r w:rsidRPr="00DB2937">
              <w:rPr>
                <w:rFonts w:ascii="Times New Roman" w:hAnsi="Times New Roman" w:cs="Times New Roman"/>
                <w:spacing w:val="-5"/>
                <w:w w:val="90"/>
              </w:rPr>
              <w:t>520</w:t>
            </w:r>
          </w:p>
        </w:tc>
        <w:tc>
          <w:tcPr>
            <w:tcW w:w="1230" w:type="dxa"/>
          </w:tcPr>
          <w:p w:rsidR="007D2157" w:rsidRPr="00B77FF3" w:rsidRDefault="00B77FF3" w:rsidP="00203D19">
            <w:pPr>
              <w:pStyle w:val="TableParagraph"/>
              <w:spacing w:before="40"/>
              <w:ind w:right="89"/>
              <w:jc w:val="right"/>
              <w:rPr>
                <w:rFonts w:ascii="Times New Roman" w:hAnsi="Times New Roman" w:cs="Times New Roman"/>
                <w:lang w:val="sr-Cyrl-RS"/>
              </w:rPr>
            </w:pPr>
            <w:r>
              <w:rPr>
                <w:rFonts w:ascii="Times New Roman" w:hAnsi="Times New Roman" w:cs="Times New Roman"/>
                <w:spacing w:val="-2"/>
                <w:w w:val="90"/>
                <w:lang w:val="sr-Cyrl-RS"/>
              </w:rPr>
              <w:t>45.685,00</w:t>
            </w:r>
          </w:p>
        </w:tc>
        <w:tc>
          <w:tcPr>
            <w:tcW w:w="1420" w:type="dxa"/>
          </w:tcPr>
          <w:p w:rsidR="007D2157" w:rsidRPr="00B77FF3" w:rsidRDefault="00B77FF3" w:rsidP="00203D19">
            <w:pPr>
              <w:pStyle w:val="TableParagraph"/>
              <w:spacing w:before="40"/>
              <w:ind w:right="88"/>
              <w:jc w:val="right"/>
              <w:rPr>
                <w:rFonts w:ascii="Times New Roman" w:hAnsi="Times New Roman" w:cs="Times New Roman"/>
                <w:lang w:val="sr-Cyrl-RS"/>
              </w:rPr>
            </w:pPr>
            <w:r>
              <w:rPr>
                <w:rFonts w:ascii="Times New Roman" w:hAnsi="Times New Roman" w:cs="Times New Roman"/>
                <w:spacing w:val="-2"/>
                <w:w w:val="90"/>
                <w:lang w:val="sr-Cyrl-RS"/>
              </w:rPr>
              <w:t>18.274.00</w:t>
            </w:r>
          </w:p>
        </w:tc>
      </w:tr>
      <w:tr w:rsidR="007D2157" w:rsidRPr="00DB2937" w:rsidTr="00DB2937">
        <w:trPr>
          <w:trHeight w:val="288"/>
        </w:trPr>
        <w:tc>
          <w:tcPr>
            <w:tcW w:w="6496" w:type="dxa"/>
            <w:gridSpan w:val="2"/>
            <w:tcBorders>
              <w:left w:val="nil"/>
              <w:bottom w:val="nil"/>
            </w:tcBorders>
          </w:tcPr>
          <w:p w:rsidR="007D2157" w:rsidRPr="00DB2937" w:rsidRDefault="007D2157" w:rsidP="00203D19">
            <w:pPr>
              <w:pStyle w:val="TableParagraph"/>
              <w:rPr>
                <w:rFonts w:ascii="Times New Roman" w:hAnsi="Times New Roman" w:cs="Times New Roman"/>
              </w:rPr>
            </w:pPr>
          </w:p>
        </w:tc>
        <w:tc>
          <w:tcPr>
            <w:tcW w:w="1230" w:type="dxa"/>
          </w:tcPr>
          <w:p w:rsidR="007D2157" w:rsidRPr="00B77FF3" w:rsidRDefault="00B77FF3" w:rsidP="00203D19">
            <w:pPr>
              <w:pStyle w:val="TableParagraph"/>
              <w:spacing w:before="37"/>
              <w:ind w:right="87"/>
              <w:jc w:val="right"/>
              <w:rPr>
                <w:rFonts w:ascii="Times New Roman" w:hAnsi="Times New Roman" w:cs="Times New Roman"/>
                <w:b/>
                <w:lang w:val="sr-Cyrl-RS"/>
              </w:rPr>
            </w:pPr>
            <w:r>
              <w:rPr>
                <w:rFonts w:ascii="Times New Roman" w:hAnsi="Times New Roman" w:cs="Times New Roman"/>
                <w:b/>
                <w:spacing w:val="-2"/>
                <w:w w:val="90"/>
                <w:lang w:val="sr-Cyrl-RS"/>
              </w:rPr>
              <w:t>7.876.185,00</w:t>
            </w:r>
          </w:p>
        </w:tc>
        <w:tc>
          <w:tcPr>
            <w:tcW w:w="1420" w:type="dxa"/>
          </w:tcPr>
          <w:p w:rsidR="007D2157" w:rsidRPr="00B77FF3" w:rsidRDefault="00B77FF3" w:rsidP="00203D19">
            <w:pPr>
              <w:pStyle w:val="TableParagraph"/>
              <w:spacing w:before="37"/>
              <w:ind w:right="87"/>
              <w:jc w:val="right"/>
              <w:rPr>
                <w:rFonts w:ascii="Times New Roman" w:hAnsi="Times New Roman" w:cs="Times New Roman"/>
                <w:b/>
                <w:lang w:val="sr-Cyrl-RS"/>
              </w:rPr>
            </w:pPr>
            <w:r>
              <w:rPr>
                <w:rFonts w:ascii="Times New Roman" w:hAnsi="Times New Roman" w:cs="Times New Roman"/>
                <w:b/>
                <w:spacing w:val="-2"/>
                <w:w w:val="90"/>
                <w:lang w:val="sr-Cyrl-RS"/>
              </w:rPr>
              <w:t>3.150.474,00</w:t>
            </w:r>
          </w:p>
        </w:tc>
      </w:tr>
    </w:tbl>
    <w:p w:rsidR="007D2157" w:rsidRPr="00DB2937" w:rsidRDefault="007D2157" w:rsidP="00F515CF">
      <w:pPr>
        <w:spacing w:line="276" w:lineRule="auto"/>
        <w:jc w:val="both"/>
        <w:rPr>
          <w:sz w:val="22"/>
          <w:szCs w:val="22"/>
          <w:lang w:val="sr-Cyrl-CS" w:eastAsia="sr-Latn-CS"/>
        </w:rPr>
      </w:pPr>
    </w:p>
    <w:p w:rsidR="007D2157" w:rsidRPr="00DB2937" w:rsidRDefault="007D2157" w:rsidP="00F515CF">
      <w:pPr>
        <w:spacing w:line="276" w:lineRule="auto"/>
        <w:jc w:val="both"/>
        <w:rPr>
          <w:lang w:val="sr-Cyrl-CS" w:eastAsia="sr-Latn-CS"/>
        </w:rPr>
      </w:pPr>
    </w:p>
    <w:p w:rsidR="007D2157" w:rsidRPr="00DB2937" w:rsidRDefault="007D2157" w:rsidP="00F515CF">
      <w:pPr>
        <w:spacing w:line="276" w:lineRule="auto"/>
        <w:jc w:val="both"/>
        <w:rPr>
          <w:lang w:val="sr-Cyrl-CS" w:eastAsia="sr-Latn-CS"/>
        </w:rPr>
      </w:pPr>
    </w:p>
    <w:p w:rsidR="00F515CF" w:rsidRPr="00DB2937" w:rsidRDefault="00F515CF" w:rsidP="00F515CF">
      <w:pPr>
        <w:spacing w:line="276" w:lineRule="auto"/>
        <w:jc w:val="both"/>
        <w:rPr>
          <w:lang w:val="sr-Cyrl-CS"/>
        </w:rPr>
      </w:pPr>
      <w:r w:rsidRPr="00DB2937">
        <w:rPr>
          <w:lang w:val="sr-Cyrl-CS"/>
        </w:rPr>
        <w:t>Детаљан приказ и опис имовине дат је у продајн</w:t>
      </w:r>
      <w:r w:rsidRPr="00DB2937">
        <w:t>oj</w:t>
      </w:r>
      <w:r w:rsidRPr="00DB2937">
        <w:rPr>
          <w:lang w:val="sr-Cyrl-CS"/>
        </w:rPr>
        <w:t xml:space="preserve"> документаци</w:t>
      </w:r>
      <w:r w:rsidRPr="00DB2937">
        <w:rPr>
          <w:lang w:val="ru-RU"/>
        </w:rPr>
        <w:t>ји</w:t>
      </w:r>
      <w:r w:rsidRPr="00DB2937">
        <w:rPr>
          <w:lang w:val="sr-Cyrl-CS"/>
        </w:rPr>
        <w:t>.</w:t>
      </w:r>
    </w:p>
    <w:p w:rsidR="00F515CF" w:rsidRPr="00DB2937" w:rsidRDefault="00F515CF" w:rsidP="00F515CF">
      <w:pPr>
        <w:spacing w:line="276" w:lineRule="auto"/>
        <w:jc w:val="both"/>
        <w:rPr>
          <w:lang w:val="sr-Cyrl-CS"/>
        </w:rPr>
      </w:pPr>
    </w:p>
    <w:p w:rsidR="00F515CF" w:rsidRPr="00DB2937" w:rsidRDefault="00F515CF" w:rsidP="00F515CF">
      <w:pPr>
        <w:spacing w:line="276" w:lineRule="auto"/>
        <w:jc w:val="both"/>
        <w:rPr>
          <w:lang w:val="sr-Cyrl-CS"/>
        </w:rPr>
      </w:pPr>
      <w:r w:rsidRPr="00DB2937">
        <w:rPr>
          <w:lang w:val="sr-Cyrl-CS"/>
        </w:rPr>
        <w:t>Право на учешће у поступку продаје имају сва правна и физичка лица</w:t>
      </w:r>
      <w:r w:rsidRPr="00DB2937">
        <w:rPr>
          <w:lang w:val="ru-RU"/>
        </w:rPr>
        <w:t xml:space="preserve"> </w:t>
      </w:r>
      <w:r w:rsidRPr="00DB2937">
        <w:rPr>
          <w:lang w:val="sr-Cyrl-CS"/>
        </w:rPr>
        <w:t>која:</w:t>
      </w:r>
    </w:p>
    <w:p w:rsidR="00F515CF" w:rsidRPr="00DB2937" w:rsidRDefault="00F515CF" w:rsidP="00F515CF">
      <w:pPr>
        <w:spacing w:line="276" w:lineRule="auto"/>
        <w:jc w:val="both"/>
        <w:rPr>
          <w:lang w:val="sr-Cyrl-CS"/>
        </w:rPr>
      </w:pPr>
    </w:p>
    <w:p w:rsidR="00F515CF" w:rsidRPr="00DB2937" w:rsidRDefault="00F515CF" w:rsidP="00F515CF">
      <w:pPr>
        <w:numPr>
          <w:ilvl w:val="0"/>
          <w:numId w:val="1"/>
        </w:numPr>
        <w:spacing w:line="276" w:lineRule="auto"/>
        <w:jc w:val="both"/>
        <w:rPr>
          <w:lang w:val="sr-Cyrl-CS"/>
        </w:rPr>
      </w:pPr>
      <w:r w:rsidRPr="00DB2937">
        <w:rPr>
          <w:lang w:val="sr-Cyrl-CS"/>
        </w:rPr>
        <w:t xml:space="preserve">након преузимања предрачуна, </w:t>
      </w:r>
      <w:r w:rsidRPr="00DB2937">
        <w:rPr>
          <w:b/>
          <w:lang w:val="sr-Cyrl-CS"/>
        </w:rPr>
        <w:t xml:space="preserve">изврше уплату ради откупа продајне документације у износу од </w:t>
      </w:r>
      <w:r w:rsidR="00720C2C">
        <w:rPr>
          <w:b/>
          <w:lang w:val="sr-Cyrl-CS"/>
        </w:rPr>
        <w:t>25</w:t>
      </w:r>
      <w:r w:rsidRPr="00DB2937">
        <w:rPr>
          <w:b/>
          <w:lang w:val="sr-Cyrl-CS"/>
        </w:rPr>
        <w:t>0.000,00</w:t>
      </w:r>
      <w:r w:rsidR="00D02908">
        <w:rPr>
          <w:b/>
          <w:lang w:val="sr-Cyrl-CS"/>
        </w:rPr>
        <w:t xml:space="preserve"> + пдв</w:t>
      </w:r>
      <w:r w:rsidRPr="00DB2937">
        <w:rPr>
          <w:b/>
          <w:lang w:val="sr-Cyrl-CS"/>
        </w:rPr>
        <w:t xml:space="preserve"> динара за </w:t>
      </w:r>
      <w:r w:rsidR="00D70B4C" w:rsidRPr="00DB2937">
        <w:rPr>
          <w:b/>
          <w:lang w:val="sr-Cyrl-CS"/>
        </w:rPr>
        <w:t>сваку целину појединачно</w:t>
      </w:r>
      <w:r w:rsidRPr="00DB2937">
        <w:rPr>
          <w:b/>
          <w:lang w:val="sr-Cyrl-CS"/>
        </w:rPr>
        <w:t xml:space="preserve">. </w:t>
      </w:r>
      <w:r w:rsidRPr="00DB2937">
        <w:rPr>
          <w:lang w:val="sr-Cyrl-CS"/>
        </w:rPr>
        <w:t xml:space="preserve">Предрачун се може преузети сваког радног дана у периоду од </w:t>
      </w:r>
      <w:r w:rsidRPr="00DB2937">
        <w:t>10</w:t>
      </w:r>
      <w:r w:rsidRPr="00DB2937">
        <w:rPr>
          <w:lang w:val="sr-Cyrl-CS"/>
        </w:rPr>
        <w:t xml:space="preserve">:00 до 14:00 часова, на адреси </w:t>
      </w:r>
      <w:r w:rsidR="00D70B4C" w:rsidRPr="00DB2937">
        <w:rPr>
          <w:lang w:val="sr-Cyrl-CS"/>
        </w:rPr>
        <w:t xml:space="preserve"> стечајног управника </w:t>
      </w:r>
      <w:r w:rsidR="007D2157" w:rsidRPr="00816AF3">
        <w:rPr>
          <w:color w:val="000000" w:themeColor="text1"/>
          <w:lang w:val="sr-Cyrl-CS"/>
        </w:rPr>
        <w:t>Лоле Рибара 6, Крагујевац</w:t>
      </w:r>
      <w:r w:rsidRPr="00DB2937">
        <w:rPr>
          <w:color w:val="FF0000"/>
          <w:lang w:val="sr-Cyrl-CS"/>
        </w:rPr>
        <w:t>,</w:t>
      </w:r>
      <w:r w:rsidRPr="00DB2937">
        <w:rPr>
          <w:lang w:val="sr-Cyrl-CS"/>
        </w:rPr>
        <w:t xml:space="preserve"> уз обавезну претходну најаву стечајно</w:t>
      </w:r>
      <w:r w:rsidR="00D70B4C" w:rsidRPr="00DB2937">
        <w:rPr>
          <w:lang w:val="sr-Cyrl-CS"/>
        </w:rPr>
        <w:t>м</w:t>
      </w:r>
      <w:r w:rsidRPr="00DB2937">
        <w:rPr>
          <w:lang w:val="sr-Cyrl-CS"/>
        </w:rPr>
        <w:t xml:space="preserve"> управник</w:t>
      </w:r>
      <w:r w:rsidR="00D70B4C" w:rsidRPr="00DB2937">
        <w:rPr>
          <w:lang w:val="sr-Cyrl-CS"/>
        </w:rPr>
        <w:t>у</w:t>
      </w:r>
      <w:r w:rsidRPr="00DB2937">
        <w:rPr>
          <w:lang w:val="sr-Cyrl-CS"/>
        </w:rPr>
        <w:t xml:space="preserve">. Рок за откуп продајне документације је најкасније </w:t>
      </w:r>
      <w:r w:rsidR="00D02908">
        <w:rPr>
          <w:b/>
          <w:lang w:val="sr-Cyrl-CS"/>
        </w:rPr>
        <w:t>12.01.</w:t>
      </w:r>
      <w:r w:rsidR="007D2157" w:rsidRPr="00DB2937">
        <w:rPr>
          <w:b/>
          <w:lang w:val="sr-Cyrl-CS"/>
        </w:rPr>
        <w:t>202</w:t>
      </w:r>
      <w:r w:rsidR="00D02908">
        <w:rPr>
          <w:b/>
          <w:lang w:val="sr-Cyrl-CS"/>
        </w:rPr>
        <w:t>6</w:t>
      </w:r>
      <w:r w:rsidRPr="00DB2937">
        <w:rPr>
          <w:b/>
        </w:rPr>
        <w:t xml:space="preserve">. </w:t>
      </w:r>
      <w:r w:rsidRPr="00DB2937">
        <w:rPr>
          <w:b/>
          <w:lang w:val="sr-Cyrl-CS"/>
        </w:rPr>
        <w:t>године</w:t>
      </w:r>
      <w:r w:rsidRPr="00DB2937">
        <w:rPr>
          <w:lang w:val="sr-Cyrl-CS"/>
        </w:rPr>
        <w:t>.</w:t>
      </w:r>
    </w:p>
    <w:p w:rsidR="00F515CF" w:rsidRPr="00DB2937" w:rsidRDefault="00F515CF" w:rsidP="00D02908">
      <w:pPr>
        <w:numPr>
          <w:ilvl w:val="0"/>
          <w:numId w:val="1"/>
        </w:numPr>
        <w:spacing w:line="276" w:lineRule="auto"/>
        <w:jc w:val="both"/>
        <w:rPr>
          <w:lang w:val="sr-Cyrl-CS"/>
        </w:rPr>
      </w:pPr>
      <w:r w:rsidRPr="00DB2937">
        <w:rPr>
          <w:b/>
          <w:lang w:val="sr-Cyrl-CS"/>
        </w:rPr>
        <w:t>уплате депозит</w:t>
      </w:r>
      <w:r w:rsidRPr="00DB2937">
        <w:rPr>
          <w:lang w:val="sr-Cyrl-CS"/>
        </w:rPr>
        <w:t xml:space="preserve"> на текући рачун стечајног дужника </w:t>
      </w:r>
      <w:r w:rsidRPr="00DB2937">
        <w:rPr>
          <w:b/>
          <w:lang w:val="sr-Cyrl-CS"/>
        </w:rPr>
        <w:t xml:space="preserve">број </w:t>
      </w:r>
      <w:r w:rsidR="00D02908" w:rsidRPr="00D02908">
        <w:rPr>
          <w:b/>
        </w:rPr>
        <w:t>105-0111807000026-86</w:t>
      </w:r>
      <w:r w:rsidR="00D02908">
        <w:rPr>
          <w:b/>
          <w:lang w:val="sr-Cyrl-RS"/>
        </w:rPr>
        <w:t xml:space="preserve"> </w:t>
      </w:r>
      <w:proofErr w:type="spellStart"/>
      <w:r w:rsidRPr="00DB2937">
        <w:rPr>
          <w:b/>
        </w:rPr>
        <w:t>код</w:t>
      </w:r>
      <w:proofErr w:type="spellEnd"/>
      <w:r w:rsidRPr="00DB2937">
        <w:rPr>
          <w:b/>
        </w:rPr>
        <w:t xml:space="preserve"> </w:t>
      </w:r>
      <w:r w:rsidR="00D02908">
        <w:rPr>
          <w:b/>
          <w:lang w:val="sr-Cyrl-RS"/>
        </w:rPr>
        <w:t>АИК</w:t>
      </w:r>
      <w:r w:rsidR="00D70B4C" w:rsidRPr="00DB2937">
        <w:rPr>
          <w:b/>
        </w:rPr>
        <w:t xml:space="preserve"> </w:t>
      </w:r>
      <w:proofErr w:type="spellStart"/>
      <w:r w:rsidR="00D70B4C" w:rsidRPr="00DB2937">
        <w:rPr>
          <w:b/>
        </w:rPr>
        <w:t>banka</w:t>
      </w:r>
      <w:proofErr w:type="spellEnd"/>
      <w:r w:rsidRPr="00DB2937">
        <w:rPr>
          <w:b/>
        </w:rPr>
        <w:t xml:space="preserve"> </w:t>
      </w:r>
      <w:proofErr w:type="spellStart"/>
      <w:r w:rsidRPr="00DB2937">
        <w:rPr>
          <w:b/>
        </w:rPr>
        <w:t>a.д</w:t>
      </w:r>
      <w:proofErr w:type="spellEnd"/>
      <w:r w:rsidRPr="00DB2937">
        <w:rPr>
          <w:b/>
        </w:rPr>
        <w:t xml:space="preserve">. </w:t>
      </w:r>
      <w:proofErr w:type="spellStart"/>
      <w:r w:rsidRPr="00DB2937">
        <w:rPr>
          <w:b/>
        </w:rPr>
        <w:t>Београд</w:t>
      </w:r>
      <w:proofErr w:type="spellEnd"/>
      <w:r w:rsidRPr="00DB2937">
        <w:rPr>
          <w:b/>
          <w:lang w:val="ru-RU"/>
        </w:rPr>
        <w:t>,</w:t>
      </w:r>
      <w:r w:rsidRPr="00DB2937">
        <w:rPr>
          <w:lang w:val="sr-Cyrl-CS"/>
        </w:rPr>
        <w:t xml:space="preserve"> или положе неопозиву првокласну банкарску гаранцију наплативу на први позив, најкасније </w:t>
      </w:r>
      <w:r w:rsidRPr="00DB2937">
        <w:rPr>
          <w:b/>
          <w:lang w:val="sr-Cyrl-CS"/>
        </w:rPr>
        <w:t>5 радних дана</w:t>
      </w:r>
      <w:r w:rsidRPr="00DB2937">
        <w:rPr>
          <w:lang w:val="sr-Cyrl-CS"/>
        </w:rPr>
        <w:t xml:space="preserve"> пре одржавања продаје (</w:t>
      </w:r>
      <w:r w:rsidRPr="00DB2937">
        <w:rPr>
          <w:b/>
          <w:lang w:val="sr-Cyrl-CS"/>
        </w:rPr>
        <w:t xml:space="preserve">рок за уплату депозита је </w:t>
      </w:r>
      <w:r w:rsidRPr="00DB2937">
        <w:rPr>
          <w:lang w:val="sr-Cyrl-CS"/>
        </w:rPr>
        <w:t xml:space="preserve">најкасније </w:t>
      </w:r>
      <w:r w:rsidR="00D02908">
        <w:rPr>
          <w:b/>
          <w:lang w:val="sr-Cyrl-RS"/>
        </w:rPr>
        <w:t>12.01.2026</w:t>
      </w:r>
      <w:r w:rsidRPr="00DB2937">
        <w:rPr>
          <w:b/>
        </w:rPr>
        <w:t>.</w:t>
      </w:r>
      <w:r w:rsidRPr="00DB2937">
        <w:rPr>
          <w:b/>
          <w:lang w:val="sr-Cyrl-CS"/>
        </w:rPr>
        <w:t xml:space="preserve"> године</w:t>
      </w:r>
      <w:r w:rsidRPr="00DB2937">
        <w:rPr>
          <w:lang w:val="sr-Cyrl-CS"/>
        </w:rPr>
        <w:t xml:space="preserve">). У случају да се као депозит положи првокласна банкарска гаранција, </w:t>
      </w:r>
      <w:bookmarkStart w:id="0" w:name="_GoBack"/>
      <w:bookmarkEnd w:id="0"/>
      <w:r w:rsidRPr="00DB2937">
        <w:rPr>
          <w:lang w:val="sr-Cyrl-CS"/>
        </w:rPr>
        <w:t>ор</w:t>
      </w:r>
      <w:r w:rsidRPr="00DB2937">
        <w:t>и</w:t>
      </w:r>
      <w:r w:rsidRPr="00DB2937">
        <w:rPr>
          <w:lang w:val="sr-Cyrl-CS"/>
        </w:rPr>
        <w:t xml:space="preserve">гинал исте се ради провере мора доставити искључиво лично </w:t>
      </w:r>
      <w:proofErr w:type="spellStart"/>
      <w:r w:rsidR="00D70B4C" w:rsidRPr="00DB2937">
        <w:t>стечајном</w:t>
      </w:r>
      <w:proofErr w:type="spellEnd"/>
      <w:r w:rsidR="00D70B4C" w:rsidRPr="00DB2937">
        <w:t xml:space="preserve"> </w:t>
      </w:r>
      <w:proofErr w:type="spellStart"/>
      <w:r w:rsidR="00D70B4C" w:rsidRPr="00DB2937">
        <w:t>управнику</w:t>
      </w:r>
      <w:proofErr w:type="spellEnd"/>
      <w:r w:rsidRPr="00DB2937">
        <w:rPr>
          <w:lang w:val="sr-Cyrl-CS"/>
        </w:rPr>
        <w:t xml:space="preserve"> најкасније </w:t>
      </w:r>
      <w:r w:rsidRPr="00DB2937">
        <w:rPr>
          <w:lang w:val="ru-RU"/>
        </w:rPr>
        <w:t xml:space="preserve">до </w:t>
      </w:r>
      <w:r w:rsidR="00D02908">
        <w:rPr>
          <w:b/>
          <w:lang w:val="sr-Cyrl-RS"/>
        </w:rPr>
        <w:t>12.01</w:t>
      </w:r>
      <w:r w:rsidR="00F84332" w:rsidRPr="00DB2937">
        <w:rPr>
          <w:b/>
          <w:lang w:val="sr-Cyrl-RS"/>
        </w:rPr>
        <w:t>.202</w:t>
      </w:r>
      <w:r w:rsidR="00D02908">
        <w:rPr>
          <w:b/>
          <w:lang w:val="sr-Cyrl-RS"/>
        </w:rPr>
        <w:t>6</w:t>
      </w:r>
      <w:r w:rsidRPr="00DB2937">
        <w:rPr>
          <w:b/>
        </w:rPr>
        <w:t>.</w:t>
      </w:r>
      <w:r w:rsidRPr="00DB2937">
        <w:rPr>
          <w:b/>
          <w:lang w:val="sr-Cyrl-CS"/>
        </w:rPr>
        <w:t xml:space="preserve"> године</w:t>
      </w:r>
      <w:r w:rsidRPr="00DB2937">
        <w:rPr>
          <w:lang w:val="sr-Cyrl-CS"/>
        </w:rPr>
        <w:t xml:space="preserve"> до 15:00 часова по београдском времену (</w:t>
      </w:r>
      <w:r w:rsidRPr="00DB2937">
        <w:t>GMT</w:t>
      </w:r>
      <w:r w:rsidRPr="00DB2937">
        <w:rPr>
          <w:lang w:val="ru-RU"/>
        </w:rPr>
        <w:t>+1)</w:t>
      </w:r>
      <w:r w:rsidRPr="00DB2937">
        <w:rPr>
          <w:lang w:val="sr-Cyrl-CS"/>
        </w:rPr>
        <w:t xml:space="preserve">. У обзир ће се узети само банкарске гаранције које пристигну на назначену адресу у назначено време. </w:t>
      </w:r>
      <w:proofErr w:type="spellStart"/>
      <w:r w:rsidRPr="00DB2937">
        <w:t>Банкарска</w:t>
      </w:r>
      <w:proofErr w:type="spellEnd"/>
      <w:r w:rsidRPr="00DB2937">
        <w:t xml:space="preserve"> </w:t>
      </w:r>
      <w:proofErr w:type="spellStart"/>
      <w:r w:rsidRPr="00DB2937">
        <w:t>гаранција</w:t>
      </w:r>
      <w:proofErr w:type="spellEnd"/>
      <w:r w:rsidRPr="00DB2937">
        <w:t xml:space="preserve"> </w:t>
      </w:r>
      <w:proofErr w:type="spellStart"/>
      <w:r w:rsidRPr="00DB2937">
        <w:t>мора</w:t>
      </w:r>
      <w:proofErr w:type="spellEnd"/>
      <w:r w:rsidRPr="00DB2937">
        <w:t xml:space="preserve"> </w:t>
      </w:r>
      <w:proofErr w:type="spellStart"/>
      <w:r w:rsidRPr="00DB2937">
        <w:t>имати</w:t>
      </w:r>
      <w:proofErr w:type="spellEnd"/>
      <w:r w:rsidRPr="00DB2937">
        <w:t xml:space="preserve"> </w:t>
      </w:r>
      <w:proofErr w:type="spellStart"/>
      <w:r w:rsidRPr="00DB2937">
        <w:t>рок</w:t>
      </w:r>
      <w:proofErr w:type="spellEnd"/>
      <w:r w:rsidRPr="00DB2937">
        <w:t xml:space="preserve"> </w:t>
      </w:r>
      <w:proofErr w:type="spellStart"/>
      <w:r w:rsidRPr="00DB2937">
        <w:t>важења</w:t>
      </w:r>
      <w:proofErr w:type="spellEnd"/>
      <w:r w:rsidRPr="00DB2937">
        <w:t xml:space="preserve"> </w:t>
      </w:r>
      <w:proofErr w:type="spellStart"/>
      <w:r w:rsidRPr="00DB2937">
        <w:t>до</w:t>
      </w:r>
      <w:proofErr w:type="spellEnd"/>
      <w:r w:rsidRPr="00DB2937">
        <w:t xml:space="preserve"> </w:t>
      </w:r>
      <w:r w:rsidR="00D02908">
        <w:rPr>
          <w:b/>
          <w:lang w:val="sr-Cyrl-RS"/>
        </w:rPr>
        <w:t>12.07</w:t>
      </w:r>
      <w:r w:rsidR="00F84332" w:rsidRPr="00DB2937">
        <w:rPr>
          <w:b/>
        </w:rPr>
        <w:t>.202</w:t>
      </w:r>
      <w:r w:rsidR="00D02908">
        <w:rPr>
          <w:b/>
          <w:lang w:val="sr-Cyrl-RS"/>
        </w:rPr>
        <w:t>6</w:t>
      </w:r>
      <w:r w:rsidRPr="00DB2937">
        <w:rPr>
          <w:b/>
        </w:rPr>
        <w:t>.</w:t>
      </w:r>
      <w:r w:rsidRPr="00DB2937">
        <w:rPr>
          <w:b/>
          <w:lang w:val="sr-Cyrl-CS"/>
        </w:rPr>
        <w:t xml:space="preserve"> године</w:t>
      </w:r>
      <w:r w:rsidRPr="00DB2937">
        <w:t>.</w:t>
      </w:r>
    </w:p>
    <w:p w:rsidR="00A51EAE" w:rsidRPr="00DB2937" w:rsidRDefault="00F515CF" w:rsidP="00D70B4C">
      <w:pPr>
        <w:pStyle w:val="ListParagraph"/>
        <w:numPr>
          <w:ilvl w:val="0"/>
          <w:numId w:val="1"/>
        </w:numPr>
        <w:jc w:val="both"/>
        <w:rPr>
          <w:b/>
          <w:lang w:val="sr-Cyrl-CS"/>
        </w:rPr>
      </w:pPr>
      <w:r w:rsidRPr="00DB2937">
        <w:rPr>
          <w:b/>
          <w:lang w:val="sr-Cyrl-CS"/>
        </w:rPr>
        <w:t xml:space="preserve">потпишу Изјаву о губитку права на повраћај депозита. </w:t>
      </w:r>
      <w:r w:rsidRPr="00DB2937">
        <w:rPr>
          <w:lang w:val="sr-Cyrl-CS"/>
        </w:rPr>
        <w:t>Изјава чини саставни део продајне документације</w:t>
      </w:r>
    </w:p>
    <w:p w:rsidR="00F515CF" w:rsidRPr="00DB2937" w:rsidRDefault="00F515CF" w:rsidP="00F515CF">
      <w:pPr>
        <w:rPr>
          <w:lang w:val="sr-Cyrl-CS"/>
        </w:rPr>
      </w:pPr>
    </w:p>
    <w:p w:rsidR="00F515CF" w:rsidRPr="00DB2937" w:rsidRDefault="00F515CF" w:rsidP="00F515CF">
      <w:pPr>
        <w:spacing w:line="276" w:lineRule="auto"/>
        <w:jc w:val="both"/>
        <w:rPr>
          <w:lang w:val="ru-RU"/>
        </w:rPr>
      </w:pPr>
      <w:r w:rsidRPr="00DB2937">
        <w:rPr>
          <w:lang w:val="sr-Cyrl-CS"/>
        </w:rPr>
        <w:t>Имовина се купује у виђеном стању. Након откупа продајне документације иста се може разгледати сваког радног дана у периоду</w:t>
      </w:r>
      <w:r w:rsidRPr="00DB2937">
        <w:rPr>
          <w:lang w:val="ru-RU"/>
        </w:rPr>
        <w:t xml:space="preserve"> од 10:00 до 14:00 часова </w:t>
      </w:r>
      <w:r w:rsidRPr="00DB2937">
        <w:rPr>
          <w:lang w:val="sr-Cyrl-CS"/>
        </w:rPr>
        <w:t>а најкасније 7 (седам) дана пре дана одржавања заказане продаје</w:t>
      </w:r>
      <w:r w:rsidRPr="00DB2937">
        <w:rPr>
          <w:lang w:val="ru-RU"/>
        </w:rPr>
        <w:t>.</w:t>
      </w:r>
    </w:p>
    <w:p w:rsidR="00F515CF" w:rsidRPr="00DB2937" w:rsidRDefault="00F515CF" w:rsidP="00F515CF">
      <w:pPr>
        <w:spacing w:line="276" w:lineRule="auto"/>
        <w:jc w:val="both"/>
        <w:rPr>
          <w:lang w:val="sr-Cyrl-CS"/>
        </w:rPr>
      </w:pPr>
    </w:p>
    <w:p w:rsidR="00F515CF" w:rsidRPr="00DB2937" w:rsidRDefault="00F515CF" w:rsidP="00F515CF">
      <w:pPr>
        <w:spacing w:line="276" w:lineRule="auto"/>
        <w:jc w:val="both"/>
        <w:rPr>
          <w:lang w:val="sr-Cyrl-CS"/>
        </w:rPr>
      </w:pPr>
      <w:r w:rsidRPr="00DB2937">
        <w:rPr>
          <w:lang w:val="sr-Cyrl-CS"/>
        </w:rPr>
        <w:t xml:space="preserve">Након уплате депозита, а најкасније до </w:t>
      </w:r>
      <w:r w:rsidR="00D02908">
        <w:rPr>
          <w:b/>
          <w:lang w:val="sr-Cyrl-CS"/>
        </w:rPr>
        <w:t>12.01.2026</w:t>
      </w:r>
      <w:r w:rsidRPr="00DB2937">
        <w:rPr>
          <w:b/>
          <w:lang w:val="sr-Cyrl-CS"/>
        </w:rPr>
        <w:t>. године</w:t>
      </w:r>
      <w:r w:rsidRPr="00DB2937">
        <w:rPr>
          <w:lang w:val="sr-Cyrl-CS"/>
        </w:rPr>
        <w:t>, потенцијални купци</w:t>
      </w:r>
      <w:r w:rsidR="00D70B4C" w:rsidRPr="00DB2937">
        <w:rPr>
          <w:lang w:val="sr-Cyrl-CS"/>
        </w:rPr>
        <w:t xml:space="preserve">, ради правовремене евиденције </w:t>
      </w:r>
      <w:r w:rsidRPr="00DB2937">
        <w:rPr>
          <w:lang w:val="sr-Cyrl-CS"/>
        </w:rPr>
        <w:t>стечајно</w:t>
      </w:r>
      <w:r w:rsidR="00D70B4C" w:rsidRPr="00DB2937">
        <w:rPr>
          <w:lang w:val="sr-Cyrl-CS"/>
        </w:rPr>
        <w:t>м управнику</w:t>
      </w:r>
      <w:r w:rsidRPr="00DB2937">
        <w:rPr>
          <w:lang w:val="sr-Cyrl-CS"/>
        </w:rPr>
        <w:t xml:space="preserve"> морају предати:</w:t>
      </w:r>
      <w:r w:rsidRPr="00DB2937">
        <w:rPr>
          <w:lang w:val="sr-Cyrl-BA"/>
        </w:rPr>
        <w:t xml:space="preserve"> попуњен </w:t>
      </w:r>
      <w:r w:rsidRPr="00DB2937">
        <w:rPr>
          <w:lang w:val="sr-Cyrl-CS"/>
        </w:rPr>
        <w:t>образац пријаве за учешће</w:t>
      </w:r>
      <w:r w:rsidRPr="00DB2937">
        <w:rPr>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DB2937">
        <w:rPr>
          <w:lang w:val="sr-Cyrl-CS"/>
        </w:rPr>
        <w:t>извод из регистра привредних субјеката и ОП образац (ако се као потенцијални купац пријављује правно лице)</w:t>
      </w:r>
      <w:r w:rsidRPr="00DB2937">
        <w:rPr>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p>
    <w:p w:rsidR="00F515CF" w:rsidRPr="00DB2937" w:rsidRDefault="00F515CF" w:rsidP="00F515CF">
      <w:pPr>
        <w:spacing w:line="276" w:lineRule="auto"/>
        <w:rPr>
          <w:lang w:val="ru-RU"/>
        </w:rPr>
      </w:pPr>
    </w:p>
    <w:p w:rsidR="00F515CF" w:rsidRPr="00DB2937" w:rsidRDefault="00F515CF" w:rsidP="00F515CF">
      <w:pPr>
        <w:spacing w:line="276" w:lineRule="auto"/>
        <w:jc w:val="both"/>
        <w:rPr>
          <w:b/>
          <w:lang w:val="sr-Cyrl-CS"/>
        </w:rPr>
      </w:pPr>
      <w:r w:rsidRPr="00DB2937">
        <w:rPr>
          <w:b/>
          <w:lang w:val="sr-Cyrl-CS"/>
        </w:rPr>
        <w:t>Јавно надметање</w:t>
      </w:r>
      <w:r w:rsidRPr="00DB2937">
        <w:rPr>
          <w:lang w:val="sr-Cyrl-CS"/>
        </w:rPr>
        <w:t xml:space="preserve"> </w:t>
      </w:r>
      <w:r w:rsidRPr="00DB2937">
        <w:rPr>
          <w:b/>
          <w:lang w:val="sr-Cyrl-CS"/>
        </w:rPr>
        <w:t>одржаће се</w:t>
      </w:r>
      <w:r w:rsidRPr="00DB2937">
        <w:rPr>
          <w:lang w:val="sr-Cyrl-CS"/>
        </w:rPr>
        <w:t xml:space="preserve"> дана </w:t>
      </w:r>
      <w:r w:rsidR="00D02908">
        <w:rPr>
          <w:b/>
          <w:lang w:val="sr-Cyrl-CS"/>
        </w:rPr>
        <w:t>19.01.2026</w:t>
      </w:r>
      <w:r w:rsidRPr="00DB2937">
        <w:rPr>
          <w:b/>
          <w:lang w:val="sr-Cyrl-CS"/>
        </w:rPr>
        <w:t xml:space="preserve">. </w:t>
      </w:r>
      <w:r w:rsidRPr="00DB2937">
        <w:rPr>
          <w:lang w:val="sr-Cyrl-CS"/>
        </w:rPr>
        <w:t>године у 11:00</w:t>
      </w:r>
      <w:r w:rsidRPr="00DB2937">
        <w:rPr>
          <w:b/>
          <w:lang w:val="sr-Cyrl-CS"/>
        </w:rPr>
        <w:t xml:space="preserve"> </w:t>
      </w:r>
      <w:r w:rsidRPr="00DB2937">
        <w:rPr>
          <w:lang w:val="sr-Cyrl-CS"/>
        </w:rPr>
        <w:t xml:space="preserve">часова на адреси: </w:t>
      </w:r>
      <w:r w:rsidR="00F84332" w:rsidRPr="00DB2937">
        <w:rPr>
          <w:lang w:val="sr-Cyrl-CS"/>
        </w:rPr>
        <w:t>Лоле Рибара 6</w:t>
      </w:r>
      <w:r w:rsidR="00D62649">
        <w:rPr>
          <w:lang w:val="sr-Cyrl-CS"/>
        </w:rPr>
        <w:t>, Крагујевац.</w:t>
      </w:r>
    </w:p>
    <w:p w:rsidR="00F515CF" w:rsidRPr="00DB2937" w:rsidRDefault="00F515CF" w:rsidP="00F515CF">
      <w:pPr>
        <w:spacing w:line="276" w:lineRule="auto"/>
        <w:rPr>
          <w:b/>
          <w:lang w:val="sr-Cyrl-CS"/>
        </w:rPr>
      </w:pPr>
    </w:p>
    <w:p w:rsidR="00F515CF" w:rsidRPr="00DB2937" w:rsidRDefault="00F515CF" w:rsidP="00F515CF">
      <w:pPr>
        <w:spacing w:line="276" w:lineRule="auto"/>
        <w:jc w:val="both"/>
        <w:rPr>
          <w:b/>
          <w:lang w:val="sr-Cyrl-CS"/>
        </w:rPr>
      </w:pPr>
      <w:r w:rsidRPr="00DB2937">
        <w:rPr>
          <w:lang w:val="sr-Cyrl-CS"/>
        </w:rPr>
        <w:lastRenderedPageBreak/>
        <w:t>Регистрација учесника почиње два сата пре почетка јавног надметања</w:t>
      </w:r>
      <w:r w:rsidRPr="00DB2937">
        <w:rPr>
          <w:lang w:val="ru-RU"/>
        </w:rPr>
        <w:t xml:space="preserve">, </w:t>
      </w:r>
      <w:r w:rsidRPr="00DB2937">
        <w:rPr>
          <w:lang w:val="sr-Cyrl-CS"/>
        </w:rPr>
        <w:t>а завршава се 15 минута пре почетка јавног надметања, односно у периоду од 09:00 до у 10:45 часова, на истој адреси</w:t>
      </w:r>
      <w:r w:rsidRPr="00DB2937">
        <w:rPr>
          <w:b/>
          <w:lang w:val="sr-Cyrl-CS"/>
        </w:rPr>
        <w:t>.</w:t>
      </w:r>
    </w:p>
    <w:p w:rsidR="00F515CF" w:rsidRPr="00DB2937" w:rsidRDefault="00F515CF" w:rsidP="00F515CF">
      <w:pPr>
        <w:spacing w:line="276" w:lineRule="auto"/>
        <w:rPr>
          <w:b/>
          <w:lang w:val="sr-Cyrl-CS"/>
        </w:rPr>
      </w:pPr>
    </w:p>
    <w:p w:rsidR="00F515CF" w:rsidRPr="00DB2937" w:rsidRDefault="00F515CF" w:rsidP="00F515CF">
      <w:pPr>
        <w:spacing w:line="276" w:lineRule="auto"/>
        <w:rPr>
          <w:lang w:val="sr-Cyrl-CS"/>
        </w:rPr>
      </w:pPr>
      <w:r w:rsidRPr="00DB2937">
        <w:rPr>
          <w:lang w:val="sr-Cyrl-CS"/>
        </w:rPr>
        <w:t>Стечајни управник спроводи јавно надметање тако што:</w:t>
      </w:r>
    </w:p>
    <w:p w:rsidR="00F515CF" w:rsidRPr="00DB2937" w:rsidRDefault="00F515CF" w:rsidP="00F515CF">
      <w:pPr>
        <w:spacing w:line="276" w:lineRule="auto"/>
        <w:rPr>
          <w:lang w:val="sr-Cyrl-CS"/>
        </w:rPr>
      </w:pPr>
    </w:p>
    <w:p w:rsidR="00F515CF" w:rsidRPr="00DB2937" w:rsidRDefault="00F515CF" w:rsidP="00F515CF">
      <w:pPr>
        <w:numPr>
          <w:ilvl w:val="0"/>
          <w:numId w:val="3"/>
        </w:numPr>
        <w:spacing w:line="276" w:lineRule="auto"/>
        <w:jc w:val="both"/>
        <w:rPr>
          <w:lang w:val="sr-Cyrl-CS"/>
        </w:rPr>
      </w:pPr>
      <w:r w:rsidRPr="00DB2937">
        <w:rPr>
          <w:lang w:val="sr-Cyrl-CS"/>
        </w:rPr>
        <w:t>региструје лица која имају право учешћа на јавном надметању (имају овлашћења или су лично присутна),</w:t>
      </w:r>
    </w:p>
    <w:p w:rsidR="00F515CF" w:rsidRPr="00DB2937" w:rsidRDefault="00F515CF" w:rsidP="00F515CF">
      <w:pPr>
        <w:numPr>
          <w:ilvl w:val="0"/>
          <w:numId w:val="3"/>
        </w:numPr>
        <w:spacing w:line="276" w:lineRule="auto"/>
        <w:jc w:val="both"/>
        <w:rPr>
          <w:lang w:val="sr-Cyrl-CS"/>
        </w:rPr>
      </w:pPr>
      <w:r w:rsidRPr="00DB2937">
        <w:rPr>
          <w:lang w:val="sr-Cyrl-CS"/>
        </w:rPr>
        <w:t>отвара јавно надметање читајући правила надметања,</w:t>
      </w:r>
    </w:p>
    <w:p w:rsidR="00F515CF" w:rsidRPr="00DB2937" w:rsidRDefault="00F515CF" w:rsidP="00F515CF">
      <w:pPr>
        <w:numPr>
          <w:ilvl w:val="0"/>
          <w:numId w:val="3"/>
        </w:numPr>
        <w:spacing w:line="276" w:lineRule="auto"/>
        <w:jc w:val="both"/>
        <w:rPr>
          <w:lang w:val="sr-Cyrl-CS"/>
        </w:rPr>
      </w:pPr>
      <w:r w:rsidRPr="00DB2937">
        <w:rPr>
          <w:lang w:val="sr-Cyrl-CS"/>
        </w:rPr>
        <w:t>позива учеснике да прихвате понуђену цену према унапред утврђеним корацима увећања,</w:t>
      </w:r>
    </w:p>
    <w:p w:rsidR="00F515CF" w:rsidRPr="00DB2937" w:rsidRDefault="00F515CF" w:rsidP="00F515CF">
      <w:pPr>
        <w:numPr>
          <w:ilvl w:val="0"/>
          <w:numId w:val="3"/>
        </w:numPr>
        <w:spacing w:line="276" w:lineRule="auto"/>
        <w:jc w:val="both"/>
        <w:rPr>
          <w:lang w:val="sr-Cyrl-CS"/>
        </w:rPr>
      </w:pPr>
      <w:r w:rsidRPr="00DB2937">
        <w:rPr>
          <w:lang w:val="sr-Cyrl-CS"/>
        </w:rPr>
        <w:t>одржава ред на јавном надметању,</w:t>
      </w:r>
    </w:p>
    <w:p w:rsidR="00F515CF" w:rsidRPr="00DB2937" w:rsidRDefault="00F515CF" w:rsidP="00F515CF">
      <w:pPr>
        <w:numPr>
          <w:ilvl w:val="0"/>
          <w:numId w:val="3"/>
        </w:numPr>
        <w:spacing w:line="276" w:lineRule="auto"/>
        <w:jc w:val="both"/>
        <w:rPr>
          <w:lang w:val="sr-Cyrl-CS"/>
        </w:rPr>
      </w:pPr>
      <w:r w:rsidRPr="00DB2937">
        <w:rPr>
          <w:lang w:val="sr-Cyrl-CS"/>
        </w:rPr>
        <w:t>проглашава за купца учесника који је прихватио највишу понуђену цену,</w:t>
      </w:r>
    </w:p>
    <w:p w:rsidR="00F515CF" w:rsidRPr="00DB2937" w:rsidRDefault="00F515CF" w:rsidP="00F515CF">
      <w:pPr>
        <w:numPr>
          <w:ilvl w:val="0"/>
          <w:numId w:val="3"/>
        </w:numPr>
        <w:spacing w:line="276" w:lineRule="auto"/>
        <w:jc w:val="both"/>
        <w:rPr>
          <w:lang w:val="sr-Cyrl-CS"/>
        </w:rPr>
      </w:pPr>
      <w:r w:rsidRPr="00DB2937">
        <w:rPr>
          <w:lang w:val="sr-Cyrl-CS"/>
        </w:rPr>
        <w:t>потписује записник.</w:t>
      </w:r>
    </w:p>
    <w:p w:rsidR="00F515CF" w:rsidRPr="00DB2937" w:rsidRDefault="00F515CF" w:rsidP="00F515CF">
      <w:pPr>
        <w:spacing w:line="276" w:lineRule="auto"/>
        <w:rPr>
          <w:lang w:val="sr-Cyrl-CS"/>
        </w:rPr>
      </w:pPr>
    </w:p>
    <w:p w:rsidR="00F515CF" w:rsidRPr="00DB2937" w:rsidRDefault="00F515CF" w:rsidP="00F515CF">
      <w:pPr>
        <w:spacing w:line="276" w:lineRule="auto"/>
        <w:jc w:val="both"/>
        <w:rPr>
          <w:lang w:val="sr-Cyrl-CS"/>
        </w:rPr>
      </w:pPr>
      <w:r w:rsidRPr="00DB2937">
        <w:rPr>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2 (два) радна дана од дана јавног надметања, а пре потписивања купопродајног уговора, након чега ће му гаранција бити враћена.</w:t>
      </w:r>
    </w:p>
    <w:p w:rsidR="00F515CF" w:rsidRPr="00DB2937" w:rsidRDefault="00F515CF" w:rsidP="00F515CF">
      <w:pPr>
        <w:spacing w:line="276" w:lineRule="auto"/>
        <w:rPr>
          <w:lang w:val="sr-Cyrl-CS"/>
        </w:rPr>
      </w:pPr>
    </w:p>
    <w:p w:rsidR="00F515CF" w:rsidRPr="00DB2937" w:rsidRDefault="00F515CF" w:rsidP="00F515CF">
      <w:pPr>
        <w:spacing w:line="276" w:lineRule="auto"/>
        <w:jc w:val="both"/>
        <w:rPr>
          <w:lang w:val="sr-Cyrl-CS"/>
        </w:rPr>
      </w:pPr>
      <w:r w:rsidRPr="00DB2937">
        <w:rPr>
          <w:lang w:val="sr-Cyrl-CS"/>
        </w:rPr>
        <w:t xml:space="preserve">Купопродајни уговор се потписује у року од 3 (три)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Pr="00DB2937">
        <w:rPr>
          <w:lang w:val="ru-RU"/>
        </w:rPr>
        <w:t xml:space="preserve">8 (осам) </w:t>
      </w:r>
      <w:r w:rsidRPr="00DB2937">
        <w:rPr>
          <w:lang w:val="sr-Cyrl-CS"/>
        </w:rPr>
        <w:t>дана од дана потписивања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(два) радна дана од пријема обавештења којим се проглашава за купца, након чега ће му гаранција бити враћена. У конкретном случају, купопродајни уговор потписује се у року од 3 (три) радна дана од пријема обавештења којим се други најбољи понуђач проглашава за купца.</w:t>
      </w:r>
    </w:p>
    <w:p w:rsidR="00F515CF" w:rsidRPr="00DB2937" w:rsidRDefault="00F515CF" w:rsidP="00F515CF">
      <w:pPr>
        <w:spacing w:line="276" w:lineRule="auto"/>
        <w:rPr>
          <w:lang w:val="ru-RU"/>
        </w:rPr>
      </w:pPr>
    </w:p>
    <w:p w:rsidR="00F515CF" w:rsidRPr="00DB2937" w:rsidRDefault="00F515CF" w:rsidP="00F515CF">
      <w:pPr>
        <w:spacing w:line="276" w:lineRule="auto"/>
        <w:jc w:val="both"/>
        <w:rPr>
          <w:lang w:val="sr-Cyrl-CS"/>
        </w:rPr>
      </w:pPr>
      <w:r w:rsidRPr="00DB2937">
        <w:rPr>
          <w:lang w:val="sr-Cyrl-CS"/>
        </w:rPr>
        <w:t>Учесницима који на јавном надметању нису стекли статус купца или другог најбољег понуђача депозит (гаранција) се враћа у року од 8 (осам) дана од дана одржавања јавног надметања. Уплатилац депозита губи право на повраћај депозита у складу са Изјавом о губитку права на повраћај депозита.</w:t>
      </w:r>
    </w:p>
    <w:p w:rsidR="00F515CF" w:rsidRPr="00DB2937" w:rsidRDefault="00F515CF" w:rsidP="00F515CF">
      <w:pPr>
        <w:spacing w:line="276" w:lineRule="auto"/>
        <w:jc w:val="both"/>
        <w:rPr>
          <w:lang w:val="sr-Cyrl-BA"/>
        </w:rPr>
      </w:pPr>
    </w:p>
    <w:p w:rsidR="00F515CF" w:rsidRPr="00DB2937" w:rsidRDefault="00F515CF" w:rsidP="00F515CF">
      <w:pPr>
        <w:spacing w:line="276" w:lineRule="auto"/>
        <w:jc w:val="both"/>
        <w:rPr>
          <w:lang w:val="sr-Cyrl-CS"/>
        </w:rPr>
      </w:pPr>
      <w:r w:rsidRPr="00DB2937">
        <w:rPr>
          <w:lang w:val="sr-Cyrl-CS"/>
        </w:rPr>
        <w:lastRenderedPageBreak/>
        <w:t>Порези и сви други овде непоменути трошкови који произилазе из закључе</w:t>
      </w:r>
      <w:r w:rsidRPr="00DB2937">
        <w:rPr>
          <w:lang w:val="ru-RU"/>
        </w:rPr>
        <w:t xml:space="preserve">ног </w:t>
      </w:r>
      <w:r w:rsidRPr="00DB2937">
        <w:rPr>
          <w:lang w:val="sr-Cyrl-CS"/>
        </w:rPr>
        <w:t>купопродајног уговора, у целости падају на терет купца.</w:t>
      </w:r>
    </w:p>
    <w:p w:rsidR="00F515CF" w:rsidRPr="00DB2937" w:rsidRDefault="00F515CF" w:rsidP="00F515CF">
      <w:pPr>
        <w:spacing w:line="276" w:lineRule="auto"/>
        <w:rPr>
          <w:lang w:val="ru-RU"/>
        </w:rPr>
      </w:pPr>
    </w:p>
    <w:p w:rsidR="00F515CF" w:rsidRPr="00816AF3" w:rsidRDefault="00F515CF" w:rsidP="00F515CF">
      <w:pPr>
        <w:spacing w:line="276" w:lineRule="auto"/>
        <w:jc w:val="both"/>
        <w:rPr>
          <w:highlight w:val="cyan"/>
        </w:rPr>
      </w:pPr>
      <w:r w:rsidRPr="00DB2937">
        <w:rPr>
          <w:lang w:val="sr-Cyrl-CS"/>
        </w:rPr>
        <w:t xml:space="preserve">Овлашћено лице, </w:t>
      </w:r>
      <w:r w:rsidR="00F84332" w:rsidRPr="00DB2937">
        <w:rPr>
          <w:lang w:val="sr-Cyrl-CS"/>
        </w:rPr>
        <w:t>стечајни управник</w:t>
      </w:r>
      <w:r w:rsidRPr="00DB2937">
        <w:rPr>
          <w:lang w:val="sr-Cyrl-CS"/>
        </w:rPr>
        <w:t xml:space="preserve"> </w:t>
      </w:r>
      <w:r w:rsidR="00F84332" w:rsidRPr="00DB2937">
        <w:rPr>
          <w:lang w:val="sr-Cyrl-CS"/>
        </w:rPr>
        <w:t>Душан Стевановић</w:t>
      </w:r>
      <w:r w:rsidR="0056269F" w:rsidRPr="00DB2937">
        <w:rPr>
          <w:lang w:val="sr-Cyrl-CS"/>
        </w:rPr>
        <w:t xml:space="preserve"> , контакт телефон </w:t>
      </w:r>
      <w:r w:rsidR="00F84332" w:rsidRPr="00DB2937">
        <w:rPr>
          <w:lang w:val="sr-Cyrl-CS"/>
        </w:rPr>
        <w:t xml:space="preserve"> 0600239523</w:t>
      </w:r>
      <w:r w:rsidR="00816AF3">
        <w:rPr>
          <w:lang w:val="sr-Latn-RS"/>
        </w:rPr>
        <w:t>, e-mail dstevanovic.su</w:t>
      </w:r>
      <w:r w:rsidR="00816AF3">
        <w:t>@gmail.com.</w:t>
      </w:r>
    </w:p>
    <w:p w:rsidR="00F515CF" w:rsidRPr="00DB2937" w:rsidRDefault="00F515CF" w:rsidP="00F515CF">
      <w:pPr>
        <w:spacing w:line="276" w:lineRule="auto"/>
        <w:jc w:val="both"/>
        <w:rPr>
          <w:lang w:val="sr-Cyrl-CS"/>
        </w:rPr>
      </w:pPr>
    </w:p>
    <w:p w:rsidR="00F515CF" w:rsidRPr="00DB2937" w:rsidRDefault="00F515CF" w:rsidP="00F515CF"/>
    <w:p w:rsidR="00F515CF" w:rsidRPr="00DB2937" w:rsidRDefault="00F515CF" w:rsidP="00F515CF"/>
    <w:sectPr w:rsidR="00F515CF" w:rsidRPr="00DB2937" w:rsidSect="00A51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71E80"/>
    <w:multiLevelType w:val="hybridMultilevel"/>
    <w:tmpl w:val="1640F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301443"/>
    <w:multiLevelType w:val="hybridMultilevel"/>
    <w:tmpl w:val="3F06275E"/>
    <w:lvl w:ilvl="0" w:tplc="A6E670F0">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18343F74"/>
    <w:multiLevelType w:val="hybridMultilevel"/>
    <w:tmpl w:val="F50ED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85E8E"/>
    <w:multiLevelType w:val="hybridMultilevel"/>
    <w:tmpl w:val="1640F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BA7C2F"/>
    <w:multiLevelType w:val="hybridMultilevel"/>
    <w:tmpl w:val="1640F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ED7D5B"/>
    <w:multiLevelType w:val="hybridMultilevel"/>
    <w:tmpl w:val="D5329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48250255"/>
    <w:multiLevelType w:val="hybridMultilevel"/>
    <w:tmpl w:val="1640F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634F94"/>
    <w:multiLevelType w:val="hybridMultilevel"/>
    <w:tmpl w:val="AF94769A"/>
    <w:lvl w:ilvl="0" w:tplc="241A0001">
      <w:start w:val="1"/>
      <w:numFmt w:val="bullet"/>
      <w:lvlText w:val=""/>
      <w:lvlJc w:val="left"/>
      <w:pPr>
        <w:ind w:left="360" w:hanging="360"/>
      </w:pPr>
      <w:rPr>
        <w:rFonts w:ascii="Symbol" w:hAnsi="Symbol" w:hint="default"/>
      </w:rPr>
    </w:lvl>
    <w:lvl w:ilvl="1" w:tplc="241A0003">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9">
    <w:nsid w:val="52F128B9"/>
    <w:multiLevelType w:val="hybridMultilevel"/>
    <w:tmpl w:val="1640F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0F6398"/>
    <w:multiLevelType w:val="hybridMultilevel"/>
    <w:tmpl w:val="1640F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1A2225"/>
    <w:multiLevelType w:val="hybridMultilevel"/>
    <w:tmpl w:val="1640F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D46FE5"/>
    <w:multiLevelType w:val="hybridMultilevel"/>
    <w:tmpl w:val="1640F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EB2AF8"/>
    <w:multiLevelType w:val="hybridMultilevel"/>
    <w:tmpl w:val="1640F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D10B4E"/>
    <w:multiLevelType w:val="hybridMultilevel"/>
    <w:tmpl w:val="DE10A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0"/>
  </w:num>
  <w:num w:numId="6">
    <w:abstractNumId w:val="13"/>
  </w:num>
  <w:num w:numId="7">
    <w:abstractNumId w:val="2"/>
  </w:num>
  <w:num w:numId="8">
    <w:abstractNumId w:val="9"/>
  </w:num>
  <w:num w:numId="9">
    <w:abstractNumId w:val="0"/>
  </w:num>
  <w:num w:numId="10">
    <w:abstractNumId w:val="7"/>
  </w:num>
  <w:num w:numId="11">
    <w:abstractNumId w:val="3"/>
  </w:num>
  <w:num w:numId="12">
    <w:abstractNumId w:val="11"/>
  </w:num>
  <w:num w:numId="13">
    <w:abstractNumId w:val="4"/>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515CF"/>
    <w:rsid w:val="004A2747"/>
    <w:rsid w:val="0056269F"/>
    <w:rsid w:val="00720C2C"/>
    <w:rsid w:val="007D2157"/>
    <w:rsid w:val="00816AF3"/>
    <w:rsid w:val="00A51EAE"/>
    <w:rsid w:val="00A560C8"/>
    <w:rsid w:val="00AA007F"/>
    <w:rsid w:val="00B77FF3"/>
    <w:rsid w:val="00C90F19"/>
    <w:rsid w:val="00D02908"/>
    <w:rsid w:val="00D62649"/>
    <w:rsid w:val="00D70B4C"/>
    <w:rsid w:val="00DB2937"/>
    <w:rsid w:val="00DE0F66"/>
    <w:rsid w:val="00F515CF"/>
    <w:rsid w:val="00F84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2B11C6-DE4A-4502-A490-A4085B0A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5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F66"/>
    <w:pPr>
      <w:ind w:left="720"/>
      <w:contextualSpacing/>
    </w:pPr>
  </w:style>
  <w:style w:type="paragraph" w:customStyle="1" w:styleId="TableParagraph">
    <w:name w:val="Table Paragraph"/>
    <w:basedOn w:val="Normal"/>
    <w:uiPriority w:val="1"/>
    <w:qFormat/>
    <w:rsid w:val="007D2157"/>
    <w:pPr>
      <w:widowControl w:val="0"/>
      <w:autoSpaceDE w:val="0"/>
      <w:autoSpaceDN w:val="0"/>
    </w:pPr>
    <w:rPr>
      <w:rFonts w:ascii="Arial" w:eastAsia="Arial" w:hAnsi="Arial" w:cs="Arial"/>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C1F45-7906-4CEF-A756-9D1FC7089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dc:creator>
  <cp:lastModifiedBy>Dusan Stevanovic</cp:lastModifiedBy>
  <cp:revision>10</cp:revision>
  <dcterms:created xsi:type="dcterms:W3CDTF">2019-04-16T13:48:00Z</dcterms:created>
  <dcterms:modified xsi:type="dcterms:W3CDTF">2025-11-30T11:20:00Z</dcterms:modified>
</cp:coreProperties>
</file>